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244D5" w14:textId="7FA0D3FA" w:rsidR="00632040" w:rsidRDefault="002E07C5" w:rsidP="00632040">
      <w:pPr>
        <w:rPr>
          <w:rStyle w:val="Stijl10pt"/>
        </w:rPr>
      </w:pPr>
      <w:r>
        <w:rPr>
          <w:rStyle w:val="Stijl10pt"/>
        </w:rPr>
        <w:t xml:space="preserve">Tijdens de ledenvergadering op 10 juni 2024 zijn door het bestuur een aantal toezeggingen gedaan en </w:t>
      </w:r>
      <w:r>
        <w:rPr>
          <w:rStyle w:val="Stijl10pt"/>
        </w:rPr>
        <w:t>is tevens de belofte gedaan om op een aantal vragen terug te komen. In dit document is de beantwoording opgenomen</w:t>
      </w:r>
      <w:r>
        <w:rPr>
          <w:rStyle w:val="Stijl10pt"/>
        </w:rPr>
        <w:t>.</w:t>
      </w:r>
    </w:p>
    <w:p w14:paraId="12AE1F70" w14:textId="77777777" w:rsidR="002E07C5" w:rsidRDefault="002E07C5" w:rsidP="00632040"/>
    <w:p w14:paraId="36F6155D" w14:textId="77777777" w:rsidR="00632040" w:rsidRPr="00632040" w:rsidRDefault="00632040" w:rsidP="00632040">
      <w:pPr>
        <w:rPr>
          <w:i/>
          <w:iCs/>
        </w:rPr>
      </w:pPr>
      <w:r w:rsidRPr="00632040">
        <w:rPr>
          <w:i/>
          <w:iCs/>
        </w:rPr>
        <w:t>I.</w:t>
      </w:r>
      <w:r w:rsidRPr="00632040">
        <w:rPr>
          <w:i/>
          <w:iCs/>
        </w:rPr>
        <w:tab/>
        <w:t>Agendapunt 1; Toezegging: Verenigingsconferentie, het bestuur komt terug op de ontvangen feedback</w:t>
      </w:r>
    </w:p>
    <w:p w14:paraId="199E5067" w14:textId="77777777" w:rsidR="00632040" w:rsidRDefault="00632040" w:rsidP="00632040"/>
    <w:p w14:paraId="697F3B0F" w14:textId="77777777" w:rsidR="00632040" w:rsidRDefault="00632040" w:rsidP="00632040">
      <w:r>
        <w:t xml:space="preserve">De opbrengsten van de Verenigingsconferentie zijn geagendeerd op de agenda van de ledenvergadering van 9 december 2024. </w:t>
      </w:r>
    </w:p>
    <w:p w14:paraId="51099EC4" w14:textId="77777777" w:rsidR="00632040" w:rsidRDefault="00632040" w:rsidP="00632040"/>
    <w:p w14:paraId="791CA9C1" w14:textId="77777777" w:rsidR="00632040" w:rsidRPr="00632040" w:rsidRDefault="00632040" w:rsidP="00632040">
      <w:pPr>
        <w:rPr>
          <w:i/>
          <w:iCs/>
        </w:rPr>
      </w:pPr>
      <w:r w:rsidRPr="00632040">
        <w:rPr>
          <w:i/>
          <w:iCs/>
        </w:rPr>
        <w:t>II.</w:t>
      </w:r>
      <w:r w:rsidRPr="00632040">
        <w:rPr>
          <w:i/>
          <w:iCs/>
        </w:rPr>
        <w:tab/>
        <w:t xml:space="preserve">Agendapunt 1; Toezegging: Heroriëntatie op de </w:t>
      </w:r>
      <w:proofErr w:type="spellStart"/>
      <w:r w:rsidRPr="00632040">
        <w:rPr>
          <w:i/>
          <w:iCs/>
        </w:rPr>
        <w:t>governance</w:t>
      </w:r>
      <w:proofErr w:type="spellEnd"/>
      <w:r w:rsidRPr="00632040">
        <w:rPr>
          <w:i/>
          <w:iCs/>
        </w:rPr>
        <w:t xml:space="preserve"> bespreken met de leden.</w:t>
      </w:r>
    </w:p>
    <w:p w14:paraId="5BA9482C" w14:textId="77777777" w:rsidR="00632040" w:rsidRDefault="00632040" w:rsidP="00632040"/>
    <w:p w14:paraId="0842B1F4" w14:textId="77777777" w:rsidR="00632040" w:rsidRDefault="00632040" w:rsidP="00632040">
      <w:r>
        <w:t xml:space="preserve">In het jaarplan 2025, pagina 7,  is een toelichting opgenomen over de activiteiten met betrekking tot de heroriëntatie op de </w:t>
      </w:r>
      <w:proofErr w:type="spellStart"/>
      <w:r>
        <w:t>governace</w:t>
      </w:r>
      <w:proofErr w:type="spellEnd"/>
      <w:r>
        <w:t xml:space="preserve"> in 2025.</w:t>
      </w:r>
    </w:p>
    <w:p w14:paraId="15AE4B57" w14:textId="181CFD18" w:rsidR="00632040" w:rsidRDefault="00632040" w:rsidP="00632040">
      <w:hyperlink r:id="rId4" w:history="1">
        <w:r>
          <w:rPr>
            <w:rStyle w:val="Hyperlink"/>
          </w:rPr>
          <w:t>Jaarplan 2025 (nba.nl)</w:t>
        </w:r>
      </w:hyperlink>
    </w:p>
    <w:p w14:paraId="5A8CF603" w14:textId="77777777" w:rsidR="00632040" w:rsidRPr="00632040" w:rsidRDefault="00632040" w:rsidP="00632040">
      <w:pPr>
        <w:rPr>
          <w:i/>
          <w:iCs/>
        </w:rPr>
      </w:pPr>
      <w:r w:rsidRPr="00632040">
        <w:rPr>
          <w:i/>
          <w:iCs/>
        </w:rPr>
        <w:t>III.</w:t>
      </w:r>
      <w:r w:rsidRPr="00632040">
        <w:rPr>
          <w:i/>
          <w:iCs/>
        </w:rPr>
        <w:tab/>
        <w:t>Agendapunt 5; Toezegging: Analyse of indexatie van het weerstandsvermogen nodig is volgt.</w:t>
      </w:r>
    </w:p>
    <w:p w14:paraId="6CC6C4C7" w14:textId="77777777" w:rsidR="00632040" w:rsidRDefault="00632040" w:rsidP="00632040"/>
    <w:p w14:paraId="2077F185" w14:textId="77777777" w:rsidR="00632040" w:rsidRDefault="00632040" w:rsidP="00632040">
      <w:r>
        <w:t>Het vermogen van ongeveer 10,5mln ligt ruim boven het vastgestelde weerstandsvermogen van 6mln. De controlerend accountant van de NBA heeft de financiële positie van de organisatie als ruim voldoende beoordeeld om eventuele toekomstige tekorten vanuit het eigen vermogen aan te vullen. Op basis van een nadere analyse zal in 2025 niet een indexatie worden bepaald, maar een nieuwe grondslag worden geformuleerd op basis waarvan het weerstandsvermogen kan worden vastgesteld en gemonitord.</w:t>
      </w:r>
    </w:p>
    <w:p w14:paraId="34792C19" w14:textId="77777777" w:rsidR="00632040" w:rsidRDefault="00632040" w:rsidP="00632040"/>
    <w:p w14:paraId="279D7813" w14:textId="77777777" w:rsidR="00632040" w:rsidRPr="00632040" w:rsidRDefault="00632040" w:rsidP="00632040">
      <w:pPr>
        <w:rPr>
          <w:i/>
          <w:iCs/>
        </w:rPr>
      </w:pPr>
      <w:r w:rsidRPr="00632040">
        <w:rPr>
          <w:i/>
          <w:iCs/>
        </w:rPr>
        <w:t>IV.</w:t>
      </w:r>
      <w:r w:rsidRPr="00632040">
        <w:rPr>
          <w:i/>
          <w:iCs/>
        </w:rPr>
        <w:tab/>
        <w:t>Agendapunt 5: Openstaande vraag: Achterblijven opbrengen kwaliteitstoetsingen in 2023. Toelichting oorzaak en verwachtingen</w:t>
      </w:r>
    </w:p>
    <w:p w14:paraId="5F144532" w14:textId="77777777" w:rsidR="00632040" w:rsidRDefault="00632040" w:rsidP="00632040">
      <w:r>
        <w:t>In de staat van baten en lasten 2023 zijn bij Toezicht en Kwaliteit de gerealiseerde baten 2023 € 201k lager dan de begrote baten over 2023. De daling van de baten worden veroorzaakt door een lager dan begroot aantal toetsingen in 2023. Afwijkingen ontstaan mede omdat begroting een inschatting is van het aantal toetsingen en in de praktijk er redenen zijn dat toetsingen geen doorgang hebben. Redenen kunnen zijn:</w:t>
      </w:r>
    </w:p>
    <w:p w14:paraId="27AF7644" w14:textId="77777777" w:rsidR="00632040" w:rsidRDefault="00632040" w:rsidP="00632040">
      <w:r>
        <w:t>•           Vrijstellingen</w:t>
      </w:r>
    </w:p>
    <w:p w14:paraId="1158E626" w14:textId="77777777" w:rsidR="00632040" w:rsidRDefault="00632040" w:rsidP="00632040">
      <w:r>
        <w:t>•           Fusies</w:t>
      </w:r>
    </w:p>
    <w:p w14:paraId="1A81F24F" w14:textId="77777777" w:rsidR="00632040" w:rsidRDefault="00632040" w:rsidP="00632040">
      <w:r>
        <w:t>•           Opheffingen</w:t>
      </w:r>
    </w:p>
    <w:p w14:paraId="06398483" w14:textId="77777777" w:rsidR="00632040" w:rsidRDefault="00632040" w:rsidP="00632040">
      <w:r>
        <w:t>•           Overgang naar het SRA</w:t>
      </w:r>
    </w:p>
    <w:p w14:paraId="679D57D3" w14:textId="77777777" w:rsidR="00632040" w:rsidRDefault="00632040" w:rsidP="00632040"/>
    <w:p w14:paraId="1A3F2960" w14:textId="77777777" w:rsidR="00632040" w:rsidRDefault="00632040" w:rsidP="00632040">
      <w:r>
        <w:t>In 2023 wordt het verschil grotendeels (€ 145k) verklaard door minder toetsingen in categorie 7 en 8 (kantoren met tussen de 10 en 200 accountants).</w:t>
      </w:r>
    </w:p>
    <w:p w14:paraId="0422F4B0" w14:textId="77777777" w:rsidR="00632040" w:rsidRDefault="00632040" w:rsidP="00632040"/>
    <w:p w14:paraId="4C11A8E0" w14:textId="77777777" w:rsidR="00632040" w:rsidRPr="00632040" w:rsidRDefault="00632040" w:rsidP="00632040">
      <w:pPr>
        <w:rPr>
          <w:i/>
          <w:iCs/>
        </w:rPr>
      </w:pPr>
      <w:r>
        <w:t>V.</w:t>
      </w:r>
      <w:r>
        <w:tab/>
      </w:r>
      <w:r w:rsidRPr="00632040">
        <w:rPr>
          <w:i/>
          <w:iCs/>
        </w:rPr>
        <w:t xml:space="preserve">Agendapunt 8; De status en toegevoegde waarden van de huidige kerngroep en de kringen wordt in de komende maanden door het bestuur beschouwd. </w:t>
      </w:r>
    </w:p>
    <w:p w14:paraId="5C888844" w14:textId="77777777" w:rsidR="00632040" w:rsidRDefault="00632040" w:rsidP="00632040"/>
    <w:p w14:paraId="7CE0924F" w14:textId="77777777" w:rsidR="00632040" w:rsidRDefault="00632040" w:rsidP="00632040">
      <w:r>
        <w:t xml:space="preserve">Mede naar aanleiding van een vraag tijdens de ledenvergadering van juni 2024 heeft het NBA-bestuur gekeken naar de status en toegevoegde waarde van de kerngroep van actieve leden. In de laatste jaren is de deelname van leden aan deze kerngroep merkbaar teruggelopen. </w:t>
      </w:r>
    </w:p>
    <w:p w14:paraId="4E59D955" w14:textId="77777777" w:rsidR="00632040" w:rsidRDefault="00632040" w:rsidP="00632040"/>
    <w:p w14:paraId="67F37CCD" w14:textId="77777777" w:rsidR="00632040" w:rsidRDefault="00632040" w:rsidP="00632040">
      <w:r>
        <w:t xml:space="preserve">De NBA heeft, in het kader van het programma Levendige Beroepsorganisatie, tegelijk andere mogelijkheden onderzocht om met leden in contact te treden. Medio 2024 voor het eerst een succesvolle </w:t>
      </w:r>
      <w:proofErr w:type="spellStart"/>
      <w:r>
        <w:t>VerenigingsConferentie</w:t>
      </w:r>
      <w:proofErr w:type="spellEnd"/>
      <w:r>
        <w:t xml:space="preserve"> georganiseerd, voorafgaand aan de ledenvergadering van juni 2024. Deze conferentie krijgt in 2025 een vervolg, als platform waar actieve en geïnteresseerde leden mee kunnen praten over het beleid en de strategie van de NBA. </w:t>
      </w:r>
    </w:p>
    <w:p w14:paraId="0307A609" w14:textId="77777777" w:rsidR="00632040" w:rsidRDefault="00632040" w:rsidP="00632040"/>
    <w:p w14:paraId="5779476A" w14:textId="77777777" w:rsidR="00632040" w:rsidRDefault="00632040" w:rsidP="00632040">
      <w:r>
        <w:t xml:space="preserve">Daarnaast zet de NBA andere kanalen in om het contact tussen leden, bestuur en bureau te intensiveren, zoals de afdelingen en kringen, de </w:t>
      </w:r>
      <w:proofErr w:type="spellStart"/>
      <w:r>
        <w:t>faculties</w:t>
      </w:r>
      <w:proofErr w:type="spellEnd"/>
      <w:r>
        <w:t xml:space="preserve">, ledenonderzoek en waar nodig tussentijdse peilingen over relevante thema’s.   </w:t>
      </w:r>
    </w:p>
    <w:p w14:paraId="62B5846D" w14:textId="77777777" w:rsidR="00632040" w:rsidRDefault="00632040" w:rsidP="00632040">
      <w:r>
        <w:t xml:space="preserve">Om te komen tot een effectieve en efficiënte beroepsorganisatie heeft het bestuur daarom recent besloten tot opheffing van de kerngroep. </w:t>
      </w:r>
    </w:p>
    <w:p w14:paraId="68A62F0C" w14:textId="77777777" w:rsidR="00632040" w:rsidRDefault="00632040" w:rsidP="00632040"/>
    <w:p w14:paraId="4A67DD50" w14:textId="77777777" w:rsidR="00632040" w:rsidRDefault="00632040" w:rsidP="00632040"/>
    <w:p w14:paraId="0DA22CDE" w14:textId="77777777" w:rsidR="00632040" w:rsidRPr="00632040" w:rsidRDefault="00632040" w:rsidP="00632040">
      <w:pPr>
        <w:rPr>
          <w:i/>
          <w:iCs/>
        </w:rPr>
      </w:pPr>
      <w:r>
        <w:t>VI.</w:t>
      </w:r>
      <w:r>
        <w:tab/>
      </w:r>
      <w:r w:rsidRPr="00632040">
        <w:rPr>
          <w:i/>
          <w:iCs/>
        </w:rPr>
        <w:t>Agendapunt  8: Is er een rol voor de NBA of is er beleid voor de betrokkenheid van een accountant bij het bepalen/aantonen van de schade van gedupeerden van de toeslagenaffaire?</w:t>
      </w:r>
    </w:p>
    <w:p w14:paraId="219FFC38" w14:textId="77777777" w:rsidR="00632040" w:rsidRDefault="00632040" w:rsidP="00632040"/>
    <w:p w14:paraId="119BB355" w14:textId="76471C03" w:rsidR="00632040" w:rsidRDefault="00632040" w:rsidP="00632040">
      <w:r>
        <w:t xml:space="preserve">Verantwoordelijk voor de afhandeling van de kindertoeslagenaffaire zijn de </w:t>
      </w:r>
      <w:hyperlink r:id="rId5" w:history="1">
        <w:r w:rsidRPr="00A951C0">
          <w:rPr>
            <w:rStyle w:val="Hyperlink"/>
          </w:rPr>
          <w:t>Uitvoeringsorganisatie Herstel Toeslagen (UHT)</w:t>
        </w:r>
      </w:hyperlink>
      <w:r>
        <w:t xml:space="preserve">  en het Ministerie van Financiën. Zij </w:t>
      </w:r>
      <w:r>
        <w:t>zijn</w:t>
      </w:r>
      <w:r>
        <w:t xml:space="preserve"> gestart met herstellen van dat wat niet goed is gegaan. Ze herstellen de fouten uit het verleden. En zij repareren de financiële gevolgen van die fouten zo goed als mogelijk. </w:t>
      </w:r>
    </w:p>
    <w:p w14:paraId="1D3B8631" w14:textId="77777777" w:rsidR="00632040" w:rsidRDefault="00632040" w:rsidP="00632040">
      <w:r>
        <w:t>Sinds oktober 2023 kunnen getroffen ouders van de kinderopvangtoeslagaffaire kiezen voor de (Gelijk)waardig Herstel route. In de afgelopen jaren hebben mensen hun tijd en energie gegeven aan het opschrijven van het feitenrelaas van ouders. Bedrijven kunnen partner worden van deze stichting (Gelijk)waardig Herstel en hun medewerkers tijd geven om hier aan deel te nemen. De NBA is een beroepsorganisatie en geen brancheorganisatie, we hebben dus geen direct contact met alle  accountantsorganisaties en -kantoren om hen te activeren om partner te worden van deze stichting. Wel kunnen de leden van de NBA altijd op eigen initiatief zich melden bij hun kantoorleiding om daar te kijken of hun organisatie partner kan  worden van de stichting (Gelijk)waardig Herstel. We zagen dat een grote accountantsorganisatie partner is van de (Gelijk)waardig Herstel route. De accountant, ook in een vrijwilligersfunctie, moet zich in alle gevallen houden aan de voorgeschreven wet- en regelgeving die voor hem/haar van toepassing is.</w:t>
      </w:r>
    </w:p>
    <w:p w14:paraId="0F97D621" w14:textId="77777777" w:rsidR="00632040" w:rsidRDefault="00632040" w:rsidP="00632040"/>
    <w:p w14:paraId="4EFE58AC" w14:textId="77777777" w:rsidR="00632040" w:rsidRPr="00632040" w:rsidRDefault="00632040" w:rsidP="00632040">
      <w:pPr>
        <w:rPr>
          <w:i/>
          <w:iCs/>
        </w:rPr>
      </w:pPr>
      <w:r w:rsidRPr="00632040">
        <w:rPr>
          <w:i/>
          <w:iCs/>
        </w:rPr>
        <w:t>VII.</w:t>
      </w:r>
      <w:r w:rsidRPr="00632040">
        <w:rPr>
          <w:i/>
          <w:iCs/>
        </w:rPr>
        <w:tab/>
        <w:t>Agendapunt 8; Het bestuur bekijkt of het zich gaat inzetten voor een wijziging van BW2 Titel 9 aan de huidige ontwikkelingen zoals digitale verslaglegging</w:t>
      </w:r>
    </w:p>
    <w:p w14:paraId="23473C74" w14:textId="77777777" w:rsidR="00632040" w:rsidRDefault="00632040" w:rsidP="00632040"/>
    <w:p w14:paraId="2C2CF00E" w14:textId="7EE6FEE9" w:rsidR="00632040" w:rsidRDefault="00632040" w:rsidP="00632040">
      <w:r>
        <w:t xml:space="preserve">Voor wat betreft de meeste aspecten staat BW2 Titel 9 niet in de weg aan digitale verslaglegging. Dat is anders in artikel 10 van BW2, titel 1. </w:t>
      </w:r>
    </w:p>
    <w:p w14:paraId="461B1341" w14:textId="77777777" w:rsidR="00632040" w:rsidRDefault="00632040" w:rsidP="00632040"/>
    <w:p w14:paraId="530207BA" w14:textId="77777777" w:rsidR="00632040" w:rsidRDefault="00632040" w:rsidP="00632040">
      <w:r>
        <w:t xml:space="preserve">In onze wetgevingsbrief zullen wij aan de minister voorstellen om (1) de bewaartermijnen op papier te vervangen door de mogelijkheid om digitaal te bewaren en (2) digitaal rapporteren mogelijk te maken. </w:t>
      </w:r>
    </w:p>
    <w:p w14:paraId="0FEF3EB8" w14:textId="77777777" w:rsidR="00632040" w:rsidRDefault="00632040" w:rsidP="00632040"/>
    <w:p w14:paraId="6845CBA5" w14:textId="77777777" w:rsidR="00632040" w:rsidRDefault="00632040" w:rsidP="00632040">
      <w:r>
        <w:t>De NBA is reeds lang actief op het dossier Standard Business Reporting (SBR). SBR gaat verder dan alleen de standaardisatie van het uit te wisselen bericht (in het XBRL-formaat), zoals een jaarrekening, en de accountantsverklaring gebaseerd op de NBA-taxonomie  maar richt zich ook op de wijze waarop de verantwoordingsrapportages worden verzonden. Zo is de deponering van de jaarrekening van middelgrote, kleine en micro-ondernemingen in het SBR-formaat verplicht, en wordt momenteel ook de digitale deponering van de jaarrekening van grote ondernemingen met bijhorende accountantsverklaring in werking gesteld.</w:t>
      </w:r>
    </w:p>
    <w:p w14:paraId="58A258A0" w14:textId="77777777" w:rsidR="00632040" w:rsidRDefault="00632040" w:rsidP="00632040"/>
    <w:p w14:paraId="672ECA3D" w14:textId="77777777" w:rsidR="00632040" w:rsidRDefault="00632040" w:rsidP="00632040"/>
    <w:p w14:paraId="09117761" w14:textId="77777777" w:rsidR="00632040" w:rsidRPr="00632040" w:rsidRDefault="00632040" w:rsidP="00632040">
      <w:pPr>
        <w:rPr>
          <w:i/>
          <w:iCs/>
        </w:rPr>
      </w:pPr>
      <w:r w:rsidRPr="00632040">
        <w:rPr>
          <w:i/>
          <w:iCs/>
        </w:rPr>
        <w:t>VIII.</w:t>
      </w:r>
      <w:r w:rsidRPr="00632040">
        <w:rPr>
          <w:i/>
          <w:iCs/>
        </w:rPr>
        <w:tab/>
        <w:t xml:space="preserve">Agendapunt 8; Opzetten </w:t>
      </w:r>
      <w:proofErr w:type="spellStart"/>
      <w:r w:rsidRPr="00632040">
        <w:rPr>
          <w:i/>
          <w:iCs/>
        </w:rPr>
        <w:t>Know</w:t>
      </w:r>
      <w:proofErr w:type="spellEnd"/>
      <w:r w:rsidRPr="00632040">
        <w:rPr>
          <w:i/>
          <w:iCs/>
        </w:rPr>
        <w:t xml:space="preserve"> </w:t>
      </w:r>
      <w:proofErr w:type="spellStart"/>
      <w:r w:rsidRPr="00632040">
        <w:rPr>
          <w:i/>
          <w:iCs/>
        </w:rPr>
        <w:t>Your</w:t>
      </w:r>
      <w:proofErr w:type="spellEnd"/>
      <w:r w:rsidRPr="00632040">
        <w:rPr>
          <w:i/>
          <w:iCs/>
        </w:rPr>
        <w:t xml:space="preserve"> Client verklaring door accountant -&gt;instructie</w:t>
      </w:r>
    </w:p>
    <w:p w14:paraId="7E1D8952" w14:textId="77777777" w:rsidR="00632040" w:rsidRDefault="00632040" w:rsidP="00632040">
      <w:r>
        <w:t>Zie nieuwsbericht 12 juli 2024</w:t>
      </w:r>
    </w:p>
    <w:p w14:paraId="1378B6F7" w14:textId="77777777" w:rsidR="00632040" w:rsidRDefault="00632040" w:rsidP="00632040">
      <w:hyperlink r:id="rId6" w:history="1">
        <w:r>
          <w:rPr>
            <w:rStyle w:val="Hyperlink"/>
          </w:rPr>
          <w:t xml:space="preserve">NBA en NVB bereiken overeenstemming over accountantsmededelingen </w:t>
        </w:r>
        <w:proofErr w:type="spellStart"/>
        <w:r>
          <w:rPr>
            <w:rStyle w:val="Hyperlink"/>
          </w:rPr>
          <w:t>tbv</w:t>
        </w:r>
        <w:proofErr w:type="spellEnd"/>
        <w:r>
          <w:rPr>
            <w:rStyle w:val="Hyperlink"/>
          </w:rPr>
          <w:t xml:space="preserve"> </w:t>
        </w:r>
        <w:proofErr w:type="spellStart"/>
        <w:r>
          <w:rPr>
            <w:rStyle w:val="Hyperlink"/>
          </w:rPr>
          <w:t>Know</w:t>
        </w:r>
        <w:proofErr w:type="spellEnd"/>
        <w:r>
          <w:rPr>
            <w:rStyle w:val="Hyperlink"/>
          </w:rPr>
          <w:t xml:space="preserve"> </w:t>
        </w:r>
        <w:proofErr w:type="spellStart"/>
        <w:r>
          <w:rPr>
            <w:rStyle w:val="Hyperlink"/>
          </w:rPr>
          <w:t>Your</w:t>
        </w:r>
        <w:proofErr w:type="spellEnd"/>
        <w:r>
          <w:rPr>
            <w:rStyle w:val="Hyperlink"/>
          </w:rPr>
          <w:t xml:space="preserve"> Client</w:t>
        </w:r>
      </w:hyperlink>
    </w:p>
    <w:p w14:paraId="3B85DAF0" w14:textId="77777777" w:rsidR="00632040" w:rsidRDefault="00632040" w:rsidP="00632040"/>
    <w:p w14:paraId="13A43BD0" w14:textId="77777777" w:rsidR="006B3F9E" w:rsidRDefault="006B3F9E"/>
    <w:sectPr w:rsidR="006B3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40"/>
    <w:rsid w:val="002E07C5"/>
    <w:rsid w:val="00632040"/>
    <w:rsid w:val="006B3F9E"/>
    <w:rsid w:val="00AD1437"/>
    <w:rsid w:val="00BB0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0EDB1"/>
  <w15:chartTrackingRefBased/>
  <w15:docId w15:val="{1C32C7CD-3A52-4BB9-99C7-24CA7BA6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2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2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20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20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20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20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20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20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20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20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20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20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20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20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20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20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20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2040"/>
    <w:rPr>
      <w:rFonts w:eastAsiaTheme="majorEastAsia" w:cstheme="majorBidi"/>
      <w:color w:val="272727" w:themeColor="text1" w:themeTint="D8"/>
    </w:rPr>
  </w:style>
  <w:style w:type="paragraph" w:styleId="Titel">
    <w:name w:val="Title"/>
    <w:basedOn w:val="Standaard"/>
    <w:next w:val="Standaard"/>
    <w:link w:val="TitelChar"/>
    <w:uiPriority w:val="10"/>
    <w:qFormat/>
    <w:rsid w:val="00632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20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20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20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20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2040"/>
    <w:rPr>
      <w:i/>
      <w:iCs/>
      <w:color w:val="404040" w:themeColor="text1" w:themeTint="BF"/>
    </w:rPr>
  </w:style>
  <w:style w:type="paragraph" w:styleId="Lijstalinea">
    <w:name w:val="List Paragraph"/>
    <w:basedOn w:val="Standaard"/>
    <w:uiPriority w:val="34"/>
    <w:qFormat/>
    <w:rsid w:val="00632040"/>
    <w:pPr>
      <w:ind w:left="720"/>
      <w:contextualSpacing/>
    </w:pPr>
  </w:style>
  <w:style w:type="character" w:styleId="Intensievebenadrukking">
    <w:name w:val="Intense Emphasis"/>
    <w:basedOn w:val="Standaardalinea-lettertype"/>
    <w:uiPriority w:val="21"/>
    <w:qFormat/>
    <w:rsid w:val="00632040"/>
    <w:rPr>
      <w:i/>
      <w:iCs/>
      <w:color w:val="0F4761" w:themeColor="accent1" w:themeShade="BF"/>
    </w:rPr>
  </w:style>
  <w:style w:type="paragraph" w:styleId="Duidelijkcitaat">
    <w:name w:val="Intense Quote"/>
    <w:basedOn w:val="Standaard"/>
    <w:next w:val="Standaard"/>
    <w:link w:val="DuidelijkcitaatChar"/>
    <w:uiPriority w:val="30"/>
    <w:qFormat/>
    <w:rsid w:val="00632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2040"/>
    <w:rPr>
      <w:i/>
      <w:iCs/>
      <w:color w:val="0F4761" w:themeColor="accent1" w:themeShade="BF"/>
    </w:rPr>
  </w:style>
  <w:style w:type="character" w:styleId="Intensieveverwijzing">
    <w:name w:val="Intense Reference"/>
    <w:basedOn w:val="Standaardalinea-lettertype"/>
    <w:uiPriority w:val="32"/>
    <w:qFormat/>
    <w:rsid w:val="00632040"/>
    <w:rPr>
      <w:b/>
      <w:bCs/>
      <w:smallCaps/>
      <w:color w:val="0F4761" w:themeColor="accent1" w:themeShade="BF"/>
      <w:spacing w:val="5"/>
    </w:rPr>
  </w:style>
  <w:style w:type="character" w:styleId="Hyperlink">
    <w:name w:val="Hyperlink"/>
    <w:basedOn w:val="Standaardalinea-lettertype"/>
    <w:uiPriority w:val="99"/>
    <w:semiHidden/>
    <w:unhideWhenUsed/>
    <w:rsid w:val="00632040"/>
    <w:rPr>
      <w:color w:val="0000FF"/>
      <w:u w:val="single"/>
    </w:rPr>
  </w:style>
  <w:style w:type="character" w:customStyle="1" w:styleId="Stijl10pt">
    <w:name w:val="Stijl 10 pt"/>
    <w:rsid w:val="002E07C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ba.nl/nieuws/2024/juli/nba-en-nvb-bereiken-overeenstemming-over-accountantsmededelingen-tbv-know-your-client/" TargetMode="External"/><Relationship Id="rId5" Type="http://schemas.openxmlformats.org/officeDocument/2006/relationships/hyperlink" Target="https://herstel.toeslagen.nl/" TargetMode="External"/><Relationship Id="rId4" Type="http://schemas.openxmlformats.org/officeDocument/2006/relationships/hyperlink" Target="https://www.nba.nl/tools-en-ondersteuning/publicaties/2024/jaarplan-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993</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Koninklijke NBA</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Steenwijk</dc:creator>
  <cp:keywords/>
  <dc:description/>
  <cp:lastModifiedBy>Erica Steenwijk</cp:lastModifiedBy>
  <cp:revision>1</cp:revision>
  <dcterms:created xsi:type="dcterms:W3CDTF">2024-12-04T10:41:00Z</dcterms:created>
  <dcterms:modified xsi:type="dcterms:W3CDTF">2024-12-04T11:33:00Z</dcterms:modified>
</cp:coreProperties>
</file>