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0053E324"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1A3B0C">
        <w:rPr>
          <w:rFonts w:cs="Arial"/>
        </w:rPr>
        <w:t xml:space="preserve">eind </w:t>
      </w:r>
      <w:r w:rsidR="00352CCF">
        <w:rPr>
          <w:rFonts w:cs="Arial"/>
        </w:rPr>
        <w:t xml:space="preserve">november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4721C884" w14:textId="056B45BC" w:rsidR="001A3B0C"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83503385" w:history="1">
        <w:r w:rsidR="001A3B0C" w:rsidRPr="00AE08D8">
          <w:rPr>
            <w:rStyle w:val="Hyperlink"/>
            <w:rFonts w:eastAsia="Calibri"/>
            <w:noProof/>
          </w:rPr>
          <w:t>Sectie II Voorbeeldrapportages</w:t>
        </w:r>
        <w:r w:rsidR="001A3B0C">
          <w:rPr>
            <w:noProof/>
            <w:webHidden/>
          </w:rPr>
          <w:tab/>
        </w:r>
        <w:r w:rsidR="001A3B0C">
          <w:rPr>
            <w:noProof/>
            <w:webHidden/>
          </w:rPr>
          <w:fldChar w:fldCharType="begin"/>
        </w:r>
        <w:r w:rsidR="001A3B0C">
          <w:rPr>
            <w:noProof/>
            <w:webHidden/>
          </w:rPr>
          <w:instrText xml:space="preserve"> PAGEREF _Toc183503385 \h </w:instrText>
        </w:r>
        <w:r w:rsidR="001A3B0C">
          <w:rPr>
            <w:noProof/>
            <w:webHidden/>
          </w:rPr>
        </w:r>
        <w:r w:rsidR="001A3B0C">
          <w:rPr>
            <w:noProof/>
            <w:webHidden/>
          </w:rPr>
          <w:fldChar w:fldCharType="separate"/>
        </w:r>
        <w:r w:rsidR="001A3B0C">
          <w:rPr>
            <w:noProof/>
            <w:webHidden/>
          </w:rPr>
          <w:t>4</w:t>
        </w:r>
        <w:r w:rsidR="001A3B0C">
          <w:rPr>
            <w:noProof/>
            <w:webHidden/>
          </w:rPr>
          <w:fldChar w:fldCharType="end"/>
        </w:r>
      </w:hyperlink>
    </w:p>
    <w:p w14:paraId="761647D7" w14:textId="1BEA82D0"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386" w:history="1">
        <w:r w:rsidRPr="00AE08D8">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_Toc183503386 \h </w:instrText>
        </w:r>
        <w:r>
          <w:rPr>
            <w:noProof/>
            <w:webHidden/>
          </w:rPr>
        </w:r>
        <w:r>
          <w:rPr>
            <w:noProof/>
            <w:webHidden/>
          </w:rPr>
          <w:fldChar w:fldCharType="separate"/>
        </w:r>
        <w:r>
          <w:rPr>
            <w:noProof/>
            <w:webHidden/>
          </w:rPr>
          <w:t>5</w:t>
        </w:r>
        <w:r>
          <w:rPr>
            <w:noProof/>
            <w:webHidden/>
          </w:rPr>
          <w:fldChar w:fldCharType="end"/>
        </w:r>
      </w:hyperlink>
    </w:p>
    <w:p w14:paraId="4FCF05C8" w14:textId="04A5CAEB"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387" w:history="1">
        <w:r w:rsidRPr="00AE08D8">
          <w:rPr>
            <w:rStyle w:val="Hyperlink"/>
            <w:rFonts w:eastAsia="Calibri"/>
            <w:noProof/>
          </w:rPr>
          <w:t>3.1 Assurance-rapporten</w:t>
        </w:r>
        <w:r>
          <w:rPr>
            <w:noProof/>
            <w:webHidden/>
          </w:rPr>
          <w:tab/>
        </w:r>
        <w:r>
          <w:rPr>
            <w:noProof/>
            <w:webHidden/>
          </w:rPr>
          <w:fldChar w:fldCharType="begin"/>
        </w:r>
        <w:r>
          <w:rPr>
            <w:noProof/>
            <w:webHidden/>
          </w:rPr>
          <w:instrText xml:space="preserve"> PAGEREF _Toc183503387 \h </w:instrText>
        </w:r>
        <w:r>
          <w:rPr>
            <w:noProof/>
            <w:webHidden/>
          </w:rPr>
        </w:r>
        <w:r>
          <w:rPr>
            <w:noProof/>
            <w:webHidden/>
          </w:rPr>
          <w:fldChar w:fldCharType="separate"/>
        </w:r>
        <w:r>
          <w:rPr>
            <w:noProof/>
            <w:webHidden/>
          </w:rPr>
          <w:t>6</w:t>
        </w:r>
        <w:r>
          <w:rPr>
            <w:noProof/>
            <w:webHidden/>
          </w:rPr>
          <w:fldChar w:fldCharType="end"/>
        </w:r>
      </w:hyperlink>
    </w:p>
    <w:p w14:paraId="541D9B1A" w14:textId="1EAAFB26"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88" w:history="1">
        <w:r w:rsidRPr="00AE08D8">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_Toc183503388 \h </w:instrText>
        </w:r>
        <w:r>
          <w:rPr>
            <w:noProof/>
            <w:webHidden/>
          </w:rPr>
        </w:r>
        <w:r>
          <w:rPr>
            <w:noProof/>
            <w:webHidden/>
          </w:rPr>
          <w:fldChar w:fldCharType="separate"/>
        </w:r>
        <w:r>
          <w:rPr>
            <w:noProof/>
            <w:webHidden/>
          </w:rPr>
          <w:t>6</w:t>
        </w:r>
        <w:r>
          <w:rPr>
            <w:noProof/>
            <w:webHidden/>
          </w:rPr>
          <w:fldChar w:fldCharType="end"/>
        </w:r>
      </w:hyperlink>
    </w:p>
    <w:p w14:paraId="0ED41F4C" w14:textId="6DF572D1"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89" w:history="1">
        <w:r w:rsidRPr="00AE08D8">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_Toc183503389 \h </w:instrText>
        </w:r>
        <w:r>
          <w:rPr>
            <w:noProof/>
            <w:webHidden/>
          </w:rPr>
        </w:r>
        <w:r>
          <w:rPr>
            <w:noProof/>
            <w:webHidden/>
          </w:rPr>
          <w:fldChar w:fldCharType="separate"/>
        </w:r>
        <w:r>
          <w:rPr>
            <w:noProof/>
            <w:webHidden/>
          </w:rPr>
          <w:t>9</w:t>
        </w:r>
        <w:r>
          <w:rPr>
            <w:noProof/>
            <w:webHidden/>
          </w:rPr>
          <w:fldChar w:fldCharType="end"/>
        </w:r>
      </w:hyperlink>
    </w:p>
    <w:p w14:paraId="7AC15AD5" w14:textId="74454992"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0" w:history="1">
        <w:r w:rsidRPr="00AE08D8">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_Toc183503390 \h </w:instrText>
        </w:r>
        <w:r>
          <w:rPr>
            <w:noProof/>
            <w:webHidden/>
          </w:rPr>
        </w:r>
        <w:r>
          <w:rPr>
            <w:noProof/>
            <w:webHidden/>
          </w:rPr>
          <w:fldChar w:fldCharType="separate"/>
        </w:r>
        <w:r>
          <w:rPr>
            <w:noProof/>
            <w:webHidden/>
          </w:rPr>
          <w:t>12</w:t>
        </w:r>
        <w:r>
          <w:rPr>
            <w:noProof/>
            <w:webHidden/>
          </w:rPr>
          <w:fldChar w:fldCharType="end"/>
        </w:r>
      </w:hyperlink>
    </w:p>
    <w:p w14:paraId="66C68E5E" w14:textId="2DE21E05"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1" w:history="1">
        <w:r w:rsidRPr="00AE08D8">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_Toc183503391 \h </w:instrText>
        </w:r>
        <w:r>
          <w:rPr>
            <w:noProof/>
            <w:webHidden/>
          </w:rPr>
        </w:r>
        <w:r>
          <w:rPr>
            <w:noProof/>
            <w:webHidden/>
          </w:rPr>
          <w:fldChar w:fldCharType="separate"/>
        </w:r>
        <w:r>
          <w:rPr>
            <w:noProof/>
            <w:webHidden/>
          </w:rPr>
          <w:t>13</w:t>
        </w:r>
        <w:r>
          <w:rPr>
            <w:noProof/>
            <w:webHidden/>
          </w:rPr>
          <w:fldChar w:fldCharType="end"/>
        </w:r>
      </w:hyperlink>
    </w:p>
    <w:p w14:paraId="6A50A90D" w14:textId="184A626F"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392" w:history="1">
        <w:r w:rsidRPr="00AE08D8">
          <w:rPr>
            <w:rStyle w:val="Hyperlink"/>
            <w:noProof/>
          </w:rPr>
          <w:t>3.2 Onderzoeksrapporten</w:t>
        </w:r>
        <w:r>
          <w:rPr>
            <w:noProof/>
            <w:webHidden/>
          </w:rPr>
          <w:tab/>
        </w:r>
        <w:r>
          <w:rPr>
            <w:noProof/>
            <w:webHidden/>
          </w:rPr>
          <w:fldChar w:fldCharType="begin"/>
        </w:r>
        <w:r>
          <w:rPr>
            <w:noProof/>
            <w:webHidden/>
          </w:rPr>
          <w:instrText xml:space="preserve"> PAGEREF _Toc183503392 \h </w:instrText>
        </w:r>
        <w:r>
          <w:rPr>
            <w:noProof/>
            <w:webHidden/>
          </w:rPr>
        </w:r>
        <w:r>
          <w:rPr>
            <w:noProof/>
            <w:webHidden/>
          </w:rPr>
          <w:fldChar w:fldCharType="separate"/>
        </w:r>
        <w:r>
          <w:rPr>
            <w:noProof/>
            <w:webHidden/>
          </w:rPr>
          <w:t>15</w:t>
        </w:r>
        <w:r>
          <w:rPr>
            <w:noProof/>
            <w:webHidden/>
          </w:rPr>
          <w:fldChar w:fldCharType="end"/>
        </w:r>
      </w:hyperlink>
    </w:p>
    <w:p w14:paraId="3372500F" w14:textId="61E87E25"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3" w:history="1">
        <w:r w:rsidRPr="00AE08D8">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_Toc183503393 \h </w:instrText>
        </w:r>
        <w:r>
          <w:rPr>
            <w:noProof/>
            <w:webHidden/>
          </w:rPr>
        </w:r>
        <w:r>
          <w:rPr>
            <w:noProof/>
            <w:webHidden/>
          </w:rPr>
          <w:fldChar w:fldCharType="separate"/>
        </w:r>
        <w:r>
          <w:rPr>
            <w:noProof/>
            <w:webHidden/>
          </w:rPr>
          <w:t>15</w:t>
        </w:r>
        <w:r>
          <w:rPr>
            <w:noProof/>
            <w:webHidden/>
          </w:rPr>
          <w:fldChar w:fldCharType="end"/>
        </w:r>
      </w:hyperlink>
    </w:p>
    <w:p w14:paraId="43761E59" w14:textId="52D13E44"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4" w:history="1">
        <w:r w:rsidRPr="00AE08D8">
          <w:rPr>
            <w:rStyle w:val="Hyperlink"/>
            <w:noProof/>
            <w:lang w:eastAsia="en-US"/>
          </w:rPr>
          <w:t xml:space="preserve">3.2.2 Onderzoeksrapport in nieuw format bij </w:t>
        </w:r>
        <w:r w:rsidRPr="00AE08D8">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_Toc183503394 \h </w:instrText>
        </w:r>
        <w:r>
          <w:rPr>
            <w:noProof/>
            <w:webHidden/>
          </w:rPr>
        </w:r>
        <w:r>
          <w:rPr>
            <w:noProof/>
            <w:webHidden/>
          </w:rPr>
          <w:fldChar w:fldCharType="separate"/>
        </w:r>
        <w:r>
          <w:rPr>
            <w:noProof/>
            <w:webHidden/>
          </w:rPr>
          <w:t>18</w:t>
        </w:r>
        <w:r>
          <w:rPr>
            <w:noProof/>
            <w:webHidden/>
          </w:rPr>
          <w:fldChar w:fldCharType="end"/>
        </w:r>
      </w:hyperlink>
    </w:p>
    <w:p w14:paraId="25772070" w14:textId="535B312E"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395" w:history="1">
        <w:r w:rsidRPr="00AE08D8">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_Toc183503395 \h </w:instrText>
        </w:r>
        <w:r>
          <w:rPr>
            <w:noProof/>
            <w:webHidden/>
          </w:rPr>
        </w:r>
        <w:r>
          <w:rPr>
            <w:noProof/>
            <w:webHidden/>
          </w:rPr>
          <w:fldChar w:fldCharType="separate"/>
        </w:r>
        <w:r>
          <w:rPr>
            <w:noProof/>
            <w:webHidden/>
          </w:rPr>
          <w:t>21</w:t>
        </w:r>
        <w:r>
          <w:rPr>
            <w:noProof/>
            <w:webHidden/>
          </w:rPr>
          <w:fldChar w:fldCharType="end"/>
        </w:r>
      </w:hyperlink>
    </w:p>
    <w:p w14:paraId="662435F0" w14:textId="54918B8A"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6" w:history="1">
        <w:r w:rsidRPr="00AE08D8">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_Toc183503396 \h </w:instrText>
        </w:r>
        <w:r>
          <w:rPr>
            <w:noProof/>
            <w:webHidden/>
          </w:rPr>
        </w:r>
        <w:r>
          <w:rPr>
            <w:noProof/>
            <w:webHidden/>
          </w:rPr>
          <w:fldChar w:fldCharType="separate"/>
        </w:r>
        <w:r>
          <w:rPr>
            <w:noProof/>
            <w:webHidden/>
          </w:rPr>
          <w:t>21</w:t>
        </w:r>
        <w:r>
          <w:rPr>
            <w:noProof/>
            <w:webHidden/>
          </w:rPr>
          <w:fldChar w:fldCharType="end"/>
        </w:r>
      </w:hyperlink>
    </w:p>
    <w:p w14:paraId="16361C72" w14:textId="6B95191F"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7" w:history="1">
        <w:r w:rsidRPr="00AE08D8">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_Toc183503397 \h </w:instrText>
        </w:r>
        <w:r>
          <w:rPr>
            <w:noProof/>
            <w:webHidden/>
          </w:rPr>
        </w:r>
        <w:r>
          <w:rPr>
            <w:noProof/>
            <w:webHidden/>
          </w:rPr>
          <w:fldChar w:fldCharType="separate"/>
        </w:r>
        <w:r>
          <w:rPr>
            <w:noProof/>
            <w:webHidden/>
          </w:rPr>
          <w:t>25</w:t>
        </w:r>
        <w:r>
          <w:rPr>
            <w:noProof/>
            <w:webHidden/>
          </w:rPr>
          <w:fldChar w:fldCharType="end"/>
        </w:r>
      </w:hyperlink>
    </w:p>
    <w:p w14:paraId="34EDF63D" w14:textId="446EA835"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8" w:history="1">
        <w:r w:rsidRPr="00AE08D8">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_Toc183503398 \h </w:instrText>
        </w:r>
        <w:r>
          <w:rPr>
            <w:noProof/>
            <w:webHidden/>
          </w:rPr>
        </w:r>
        <w:r>
          <w:rPr>
            <w:noProof/>
            <w:webHidden/>
          </w:rPr>
          <w:fldChar w:fldCharType="separate"/>
        </w:r>
        <w:r>
          <w:rPr>
            <w:noProof/>
            <w:webHidden/>
          </w:rPr>
          <w:t>29</w:t>
        </w:r>
        <w:r>
          <w:rPr>
            <w:noProof/>
            <w:webHidden/>
          </w:rPr>
          <w:fldChar w:fldCharType="end"/>
        </w:r>
      </w:hyperlink>
    </w:p>
    <w:p w14:paraId="280C5E2D" w14:textId="3737CAD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399" w:history="1">
        <w:r w:rsidRPr="00AE08D8">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_Toc183503399 \h </w:instrText>
        </w:r>
        <w:r>
          <w:rPr>
            <w:noProof/>
            <w:webHidden/>
          </w:rPr>
        </w:r>
        <w:r>
          <w:rPr>
            <w:noProof/>
            <w:webHidden/>
          </w:rPr>
          <w:fldChar w:fldCharType="separate"/>
        </w:r>
        <w:r>
          <w:rPr>
            <w:noProof/>
            <w:webHidden/>
          </w:rPr>
          <w:t>33</w:t>
        </w:r>
        <w:r>
          <w:rPr>
            <w:noProof/>
            <w:webHidden/>
          </w:rPr>
          <w:fldChar w:fldCharType="end"/>
        </w:r>
      </w:hyperlink>
    </w:p>
    <w:p w14:paraId="7D8599EB" w14:textId="1322D391"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00" w:history="1">
        <w:r w:rsidRPr="00AE08D8">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_Toc183503400 \h </w:instrText>
        </w:r>
        <w:r>
          <w:rPr>
            <w:noProof/>
            <w:webHidden/>
          </w:rPr>
        </w:r>
        <w:r>
          <w:rPr>
            <w:noProof/>
            <w:webHidden/>
          </w:rPr>
          <w:fldChar w:fldCharType="separate"/>
        </w:r>
        <w:r>
          <w:rPr>
            <w:noProof/>
            <w:webHidden/>
          </w:rPr>
          <w:t>37</w:t>
        </w:r>
        <w:r>
          <w:rPr>
            <w:noProof/>
            <w:webHidden/>
          </w:rPr>
          <w:fldChar w:fldCharType="end"/>
        </w:r>
      </w:hyperlink>
    </w:p>
    <w:p w14:paraId="096EC7B5" w14:textId="264E220F"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1" w:history="1">
        <w:r w:rsidRPr="00AE08D8">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_Toc183503401 \h </w:instrText>
        </w:r>
        <w:r>
          <w:rPr>
            <w:noProof/>
            <w:webHidden/>
          </w:rPr>
        </w:r>
        <w:r>
          <w:rPr>
            <w:noProof/>
            <w:webHidden/>
          </w:rPr>
          <w:fldChar w:fldCharType="separate"/>
        </w:r>
        <w:r>
          <w:rPr>
            <w:noProof/>
            <w:webHidden/>
          </w:rPr>
          <w:t>37</w:t>
        </w:r>
        <w:r>
          <w:rPr>
            <w:noProof/>
            <w:webHidden/>
          </w:rPr>
          <w:fldChar w:fldCharType="end"/>
        </w:r>
      </w:hyperlink>
    </w:p>
    <w:p w14:paraId="79F01DA1" w14:textId="5B817FB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2" w:history="1">
        <w:r w:rsidRPr="00AE08D8">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_Toc183503402 \h </w:instrText>
        </w:r>
        <w:r>
          <w:rPr>
            <w:noProof/>
            <w:webHidden/>
          </w:rPr>
        </w:r>
        <w:r>
          <w:rPr>
            <w:noProof/>
            <w:webHidden/>
          </w:rPr>
          <w:fldChar w:fldCharType="separate"/>
        </w:r>
        <w:r>
          <w:rPr>
            <w:noProof/>
            <w:webHidden/>
          </w:rPr>
          <w:t>41</w:t>
        </w:r>
        <w:r>
          <w:rPr>
            <w:noProof/>
            <w:webHidden/>
          </w:rPr>
          <w:fldChar w:fldCharType="end"/>
        </w:r>
      </w:hyperlink>
    </w:p>
    <w:p w14:paraId="0BAD9025" w14:textId="30B51E15"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3" w:history="1">
        <w:r w:rsidRPr="00AE08D8">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_Toc183503403 \h </w:instrText>
        </w:r>
        <w:r>
          <w:rPr>
            <w:noProof/>
            <w:webHidden/>
          </w:rPr>
        </w:r>
        <w:r>
          <w:rPr>
            <w:noProof/>
            <w:webHidden/>
          </w:rPr>
          <w:fldChar w:fldCharType="separate"/>
        </w:r>
        <w:r>
          <w:rPr>
            <w:noProof/>
            <w:webHidden/>
          </w:rPr>
          <w:t>42</w:t>
        </w:r>
        <w:r>
          <w:rPr>
            <w:noProof/>
            <w:webHidden/>
          </w:rPr>
          <w:fldChar w:fldCharType="end"/>
        </w:r>
      </w:hyperlink>
    </w:p>
    <w:p w14:paraId="1C7F893A" w14:textId="31D447F4"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4" w:history="1">
        <w:r w:rsidRPr="00AE08D8">
          <w:rPr>
            <w:rStyle w:val="Hyperlink"/>
            <w:noProof/>
            <w:lang w:eastAsia="en-US"/>
          </w:rPr>
          <w:t xml:space="preserve">3.4.4 Assurance-rapport in nieuw format van de onafhankelijke accountant van de serviceorganisatie over de beschrijving en de opzet en werking van interne </w:t>
        </w:r>
        <w:r w:rsidRPr="00AE08D8">
          <w:rPr>
            <w:rStyle w:val="Hyperlink"/>
            <w:noProof/>
            <w:lang w:eastAsia="en-US"/>
          </w:rPr>
          <w:lastRenderedPageBreak/>
          <w:t>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_Toc183503404 \h </w:instrText>
        </w:r>
        <w:r>
          <w:rPr>
            <w:noProof/>
            <w:webHidden/>
          </w:rPr>
        </w:r>
        <w:r>
          <w:rPr>
            <w:noProof/>
            <w:webHidden/>
          </w:rPr>
          <w:fldChar w:fldCharType="separate"/>
        </w:r>
        <w:r>
          <w:rPr>
            <w:noProof/>
            <w:webHidden/>
          </w:rPr>
          <w:t>47</w:t>
        </w:r>
        <w:r>
          <w:rPr>
            <w:noProof/>
            <w:webHidden/>
          </w:rPr>
          <w:fldChar w:fldCharType="end"/>
        </w:r>
      </w:hyperlink>
    </w:p>
    <w:p w14:paraId="63C028DF" w14:textId="779D13B0"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5" w:history="1">
        <w:r w:rsidRPr="00AE08D8">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_Toc183503405 \h </w:instrText>
        </w:r>
        <w:r>
          <w:rPr>
            <w:noProof/>
            <w:webHidden/>
          </w:rPr>
        </w:r>
        <w:r>
          <w:rPr>
            <w:noProof/>
            <w:webHidden/>
          </w:rPr>
          <w:fldChar w:fldCharType="separate"/>
        </w:r>
        <w:r>
          <w:rPr>
            <w:noProof/>
            <w:webHidden/>
          </w:rPr>
          <w:t>52</w:t>
        </w:r>
        <w:r>
          <w:rPr>
            <w:noProof/>
            <w:webHidden/>
          </w:rPr>
          <w:fldChar w:fldCharType="end"/>
        </w:r>
      </w:hyperlink>
    </w:p>
    <w:p w14:paraId="5DECD2B2" w14:textId="49741254"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06" w:history="1">
        <w:r w:rsidRPr="00AE08D8">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_Toc183503406 \h </w:instrText>
        </w:r>
        <w:r>
          <w:rPr>
            <w:noProof/>
            <w:webHidden/>
          </w:rPr>
        </w:r>
        <w:r>
          <w:rPr>
            <w:noProof/>
            <w:webHidden/>
          </w:rPr>
          <w:fldChar w:fldCharType="separate"/>
        </w:r>
        <w:r>
          <w:rPr>
            <w:noProof/>
            <w:webHidden/>
          </w:rPr>
          <w:t>57</w:t>
        </w:r>
        <w:r>
          <w:rPr>
            <w:noProof/>
            <w:webHidden/>
          </w:rPr>
          <w:fldChar w:fldCharType="end"/>
        </w:r>
      </w:hyperlink>
    </w:p>
    <w:p w14:paraId="615BCEC7" w14:textId="7870BF4C"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7" w:history="1">
        <w:r w:rsidRPr="00AE08D8">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_Toc183503407 \h </w:instrText>
        </w:r>
        <w:r>
          <w:rPr>
            <w:noProof/>
            <w:webHidden/>
          </w:rPr>
        </w:r>
        <w:r>
          <w:rPr>
            <w:noProof/>
            <w:webHidden/>
          </w:rPr>
          <w:fldChar w:fldCharType="separate"/>
        </w:r>
        <w:r>
          <w:rPr>
            <w:noProof/>
            <w:webHidden/>
          </w:rPr>
          <w:t>57</w:t>
        </w:r>
        <w:r>
          <w:rPr>
            <w:noProof/>
            <w:webHidden/>
          </w:rPr>
          <w:fldChar w:fldCharType="end"/>
        </w:r>
      </w:hyperlink>
    </w:p>
    <w:p w14:paraId="1A189983" w14:textId="3F5382BA"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08" w:history="1">
        <w:r w:rsidRPr="00AE08D8">
          <w:rPr>
            <w:rStyle w:val="Hyperlink"/>
            <w:noProof/>
            <w:lang w:eastAsia="en-US"/>
          </w:rPr>
          <w:t>3.5.2 Assura</w:t>
        </w:r>
        <w:r w:rsidRPr="00AE08D8">
          <w:rPr>
            <w:rStyle w:val="Hyperlink"/>
            <w:noProof/>
            <w:lang w:eastAsia="en-US"/>
          </w:rPr>
          <w:t>n</w:t>
        </w:r>
        <w:r w:rsidRPr="00AE08D8">
          <w:rPr>
            <w:rStyle w:val="Hyperlink"/>
            <w:noProof/>
            <w:lang w:eastAsia="en-US"/>
          </w:rPr>
          <w:t>ce-rapport in nieuw format met beperkte mate van zekerheid bij de duurzaamheidsinformatie</w:t>
        </w:r>
        <w:r>
          <w:rPr>
            <w:noProof/>
            <w:webHidden/>
          </w:rPr>
          <w:tab/>
        </w:r>
        <w:r>
          <w:rPr>
            <w:noProof/>
            <w:webHidden/>
          </w:rPr>
          <w:fldChar w:fldCharType="begin"/>
        </w:r>
        <w:r>
          <w:rPr>
            <w:noProof/>
            <w:webHidden/>
          </w:rPr>
          <w:instrText xml:space="preserve"> PAGEREF _Toc183503408 \h </w:instrText>
        </w:r>
        <w:r>
          <w:rPr>
            <w:noProof/>
            <w:webHidden/>
          </w:rPr>
        </w:r>
        <w:r>
          <w:rPr>
            <w:noProof/>
            <w:webHidden/>
          </w:rPr>
          <w:fldChar w:fldCharType="separate"/>
        </w:r>
        <w:r>
          <w:rPr>
            <w:noProof/>
            <w:webHidden/>
          </w:rPr>
          <w:t>62</w:t>
        </w:r>
        <w:r>
          <w:rPr>
            <w:noProof/>
            <w:webHidden/>
          </w:rPr>
          <w:fldChar w:fldCharType="end"/>
        </w:r>
      </w:hyperlink>
    </w:p>
    <w:p w14:paraId="3CC5FBAD" w14:textId="46765247"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09" w:history="1">
        <w:r w:rsidRPr="00AE08D8">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_Toc183503409 \h </w:instrText>
        </w:r>
        <w:r>
          <w:rPr>
            <w:noProof/>
            <w:webHidden/>
          </w:rPr>
        </w:r>
        <w:r>
          <w:rPr>
            <w:noProof/>
            <w:webHidden/>
          </w:rPr>
          <w:fldChar w:fldCharType="separate"/>
        </w:r>
        <w:r>
          <w:rPr>
            <w:noProof/>
            <w:webHidden/>
          </w:rPr>
          <w:t>67</w:t>
        </w:r>
        <w:r>
          <w:rPr>
            <w:noProof/>
            <w:webHidden/>
          </w:rPr>
          <w:fldChar w:fldCharType="end"/>
        </w:r>
      </w:hyperlink>
    </w:p>
    <w:p w14:paraId="1254E176" w14:textId="05EC834C"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0" w:history="1">
        <w:r w:rsidRPr="00AE08D8">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_Toc183503410 \h </w:instrText>
        </w:r>
        <w:r>
          <w:rPr>
            <w:noProof/>
            <w:webHidden/>
          </w:rPr>
        </w:r>
        <w:r>
          <w:rPr>
            <w:noProof/>
            <w:webHidden/>
          </w:rPr>
          <w:fldChar w:fldCharType="separate"/>
        </w:r>
        <w:r>
          <w:rPr>
            <w:noProof/>
            <w:webHidden/>
          </w:rPr>
          <w:t>68</w:t>
        </w:r>
        <w:r>
          <w:rPr>
            <w:noProof/>
            <w:webHidden/>
          </w:rPr>
          <w:fldChar w:fldCharType="end"/>
        </w:r>
      </w:hyperlink>
    </w:p>
    <w:p w14:paraId="5D5A1587" w14:textId="78FD2C31"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1" w:history="1">
        <w:r w:rsidRPr="00AE08D8">
          <w:rPr>
            <w:rStyle w:val="Hyperlink"/>
            <w:noProof/>
            <w:lang w:eastAsia="en-US"/>
          </w:rPr>
          <w:t>4.2 Onder constructie: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_Toc183503411 \h </w:instrText>
        </w:r>
        <w:r>
          <w:rPr>
            <w:noProof/>
            <w:webHidden/>
          </w:rPr>
        </w:r>
        <w:r>
          <w:rPr>
            <w:noProof/>
            <w:webHidden/>
          </w:rPr>
          <w:fldChar w:fldCharType="separate"/>
        </w:r>
        <w:r>
          <w:rPr>
            <w:noProof/>
            <w:webHidden/>
          </w:rPr>
          <w:t>71</w:t>
        </w:r>
        <w:r>
          <w:rPr>
            <w:noProof/>
            <w:webHidden/>
          </w:rPr>
          <w:fldChar w:fldCharType="end"/>
        </w:r>
      </w:hyperlink>
    </w:p>
    <w:p w14:paraId="63F8B595" w14:textId="41557BB4"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12" w:history="1">
        <w:r w:rsidRPr="00AE08D8">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_Toc183503412 \h </w:instrText>
        </w:r>
        <w:r>
          <w:rPr>
            <w:noProof/>
            <w:webHidden/>
          </w:rPr>
        </w:r>
        <w:r>
          <w:rPr>
            <w:noProof/>
            <w:webHidden/>
          </w:rPr>
          <w:fldChar w:fldCharType="separate"/>
        </w:r>
        <w:r>
          <w:rPr>
            <w:noProof/>
            <w:webHidden/>
          </w:rPr>
          <w:t>72</w:t>
        </w:r>
        <w:r>
          <w:rPr>
            <w:noProof/>
            <w:webHidden/>
          </w:rPr>
          <w:fldChar w:fldCharType="end"/>
        </w:r>
      </w:hyperlink>
    </w:p>
    <w:p w14:paraId="575AF14A" w14:textId="30C9711C"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3" w:history="1">
        <w:r w:rsidRPr="00AE08D8">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_Toc183503413 \h </w:instrText>
        </w:r>
        <w:r>
          <w:rPr>
            <w:noProof/>
            <w:webHidden/>
          </w:rPr>
        </w:r>
        <w:r>
          <w:rPr>
            <w:noProof/>
            <w:webHidden/>
          </w:rPr>
          <w:fldChar w:fldCharType="separate"/>
        </w:r>
        <w:r>
          <w:rPr>
            <w:noProof/>
            <w:webHidden/>
          </w:rPr>
          <w:t>73</w:t>
        </w:r>
        <w:r>
          <w:rPr>
            <w:noProof/>
            <w:webHidden/>
          </w:rPr>
          <w:fldChar w:fldCharType="end"/>
        </w:r>
      </w:hyperlink>
    </w:p>
    <w:p w14:paraId="56E78DC1" w14:textId="10DCEAB8"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14" w:history="1">
        <w:r w:rsidRPr="00AE08D8">
          <w:rPr>
            <w:rStyle w:val="Hyperlink"/>
            <w:noProof/>
          </w:rPr>
          <w:t>12  Rapportages ten behoeve van banken</w:t>
        </w:r>
        <w:r>
          <w:rPr>
            <w:noProof/>
            <w:webHidden/>
          </w:rPr>
          <w:tab/>
        </w:r>
        <w:r>
          <w:rPr>
            <w:noProof/>
            <w:webHidden/>
          </w:rPr>
          <w:fldChar w:fldCharType="begin"/>
        </w:r>
        <w:r>
          <w:rPr>
            <w:noProof/>
            <w:webHidden/>
          </w:rPr>
          <w:instrText xml:space="preserve"> PAGEREF _Toc183503414 \h </w:instrText>
        </w:r>
        <w:r>
          <w:rPr>
            <w:noProof/>
            <w:webHidden/>
          </w:rPr>
        </w:r>
        <w:r>
          <w:rPr>
            <w:noProof/>
            <w:webHidden/>
          </w:rPr>
          <w:fldChar w:fldCharType="separate"/>
        </w:r>
        <w:r>
          <w:rPr>
            <w:noProof/>
            <w:webHidden/>
          </w:rPr>
          <w:t>76</w:t>
        </w:r>
        <w:r>
          <w:rPr>
            <w:noProof/>
            <w:webHidden/>
          </w:rPr>
          <w:fldChar w:fldCharType="end"/>
        </w:r>
      </w:hyperlink>
    </w:p>
    <w:p w14:paraId="0C361835" w14:textId="03AC53A2"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5" w:history="1">
        <w:r w:rsidRPr="00AE08D8">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_Toc183503415 \h </w:instrText>
        </w:r>
        <w:r>
          <w:rPr>
            <w:noProof/>
            <w:webHidden/>
          </w:rPr>
        </w:r>
        <w:r>
          <w:rPr>
            <w:noProof/>
            <w:webHidden/>
          </w:rPr>
          <w:fldChar w:fldCharType="separate"/>
        </w:r>
        <w:r>
          <w:rPr>
            <w:noProof/>
            <w:webHidden/>
          </w:rPr>
          <w:t>77</w:t>
        </w:r>
        <w:r>
          <w:rPr>
            <w:noProof/>
            <w:webHidden/>
          </w:rPr>
          <w:fldChar w:fldCharType="end"/>
        </w:r>
      </w:hyperlink>
    </w:p>
    <w:p w14:paraId="124B5CBC" w14:textId="18BDACAA"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6" w:history="1">
        <w:r w:rsidRPr="00AE08D8">
          <w:rPr>
            <w:rStyle w:val="Hyperlink"/>
            <w:noProof/>
          </w:rPr>
          <w:t>12.4 Onder constructie: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_Toc183503416 \h </w:instrText>
        </w:r>
        <w:r>
          <w:rPr>
            <w:noProof/>
            <w:webHidden/>
          </w:rPr>
        </w:r>
        <w:r>
          <w:rPr>
            <w:noProof/>
            <w:webHidden/>
          </w:rPr>
          <w:fldChar w:fldCharType="separate"/>
        </w:r>
        <w:r>
          <w:rPr>
            <w:noProof/>
            <w:webHidden/>
          </w:rPr>
          <w:t>81</w:t>
        </w:r>
        <w:r>
          <w:rPr>
            <w:noProof/>
            <w:webHidden/>
          </w:rPr>
          <w:fldChar w:fldCharType="end"/>
        </w:r>
      </w:hyperlink>
    </w:p>
    <w:p w14:paraId="7031439A" w14:textId="610D5BDC"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17" w:history="1">
        <w:r w:rsidRPr="00AE08D8">
          <w:rPr>
            <w:rStyle w:val="Hyperlink"/>
            <w:noProof/>
          </w:rPr>
          <w:t>13  Rapportages ten behoeve van beleggingsinstellingen en - ondernemingen</w:t>
        </w:r>
        <w:r>
          <w:rPr>
            <w:noProof/>
            <w:webHidden/>
          </w:rPr>
          <w:tab/>
        </w:r>
        <w:r>
          <w:rPr>
            <w:noProof/>
            <w:webHidden/>
          </w:rPr>
          <w:fldChar w:fldCharType="begin"/>
        </w:r>
        <w:r>
          <w:rPr>
            <w:noProof/>
            <w:webHidden/>
          </w:rPr>
          <w:instrText xml:space="preserve"> PAGEREF _Toc183503417 \h </w:instrText>
        </w:r>
        <w:r>
          <w:rPr>
            <w:noProof/>
            <w:webHidden/>
          </w:rPr>
        </w:r>
        <w:r>
          <w:rPr>
            <w:noProof/>
            <w:webHidden/>
          </w:rPr>
          <w:fldChar w:fldCharType="separate"/>
        </w:r>
        <w:r>
          <w:rPr>
            <w:noProof/>
            <w:webHidden/>
          </w:rPr>
          <w:t>82</w:t>
        </w:r>
        <w:r>
          <w:rPr>
            <w:noProof/>
            <w:webHidden/>
          </w:rPr>
          <w:fldChar w:fldCharType="end"/>
        </w:r>
      </w:hyperlink>
    </w:p>
    <w:p w14:paraId="2CFB6AB3" w14:textId="442F7837"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8" w:history="1">
        <w:r w:rsidRPr="00AE08D8">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_Toc183503418 \h </w:instrText>
        </w:r>
        <w:r>
          <w:rPr>
            <w:noProof/>
            <w:webHidden/>
          </w:rPr>
        </w:r>
        <w:r>
          <w:rPr>
            <w:noProof/>
            <w:webHidden/>
          </w:rPr>
          <w:fldChar w:fldCharType="separate"/>
        </w:r>
        <w:r>
          <w:rPr>
            <w:noProof/>
            <w:webHidden/>
          </w:rPr>
          <w:t>83</w:t>
        </w:r>
        <w:r>
          <w:rPr>
            <w:noProof/>
            <w:webHidden/>
          </w:rPr>
          <w:fldChar w:fldCharType="end"/>
        </w:r>
      </w:hyperlink>
    </w:p>
    <w:p w14:paraId="44392354" w14:textId="7FC2CDE0"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19" w:history="1">
        <w:r w:rsidRPr="00AE08D8">
          <w:rPr>
            <w:rStyle w:val="Hyperlink"/>
            <w:noProof/>
          </w:rPr>
          <w:t xml:space="preserve">13.6 </w:t>
        </w:r>
        <w:r w:rsidRPr="00AE08D8">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_Toc183503419 \h </w:instrText>
        </w:r>
        <w:r>
          <w:rPr>
            <w:noProof/>
            <w:webHidden/>
          </w:rPr>
        </w:r>
        <w:r>
          <w:rPr>
            <w:noProof/>
            <w:webHidden/>
          </w:rPr>
          <w:fldChar w:fldCharType="separate"/>
        </w:r>
        <w:r>
          <w:rPr>
            <w:noProof/>
            <w:webHidden/>
          </w:rPr>
          <w:t>86</w:t>
        </w:r>
        <w:r>
          <w:rPr>
            <w:noProof/>
            <w:webHidden/>
          </w:rPr>
          <w:fldChar w:fldCharType="end"/>
        </w:r>
      </w:hyperlink>
    </w:p>
    <w:p w14:paraId="5F0D203C" w14:textId="2855512C"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0" w:history="1">
        <w:r w:rsidRPr="00AE08D8">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_Toc183503420 \h </w:instrText>
        </w:r>
        <w:r>
          <w:rPr>
            <w:noProof/>
            <w:webHidden/>
          </w:rPr>
        </w:r>
        <w:r>
          <w:rPr>
            <w:noProof/>
            <w:webHidden/>
          </w:rPr>
          <w:fldChar w:fldCharType="separate"/>
        </w:r>
        <w:r>
          <w:rPr>
            <w:noProof/>
            <w:webHidden/>
          </w:rPr>
          <w:t>88</w:t>
        </w:r>
        <w:r>
          <w:rPr>
            <w:noProof/>
            <w:webHidden/>
          </w:rPr>
          <w:fldChar w:fldCharType="end"/>
        </w:r>
      </w:hyperlink>
    </w:p>
    <w:p w14:paraId="159A8C05" w14:textId="194B3E70"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1" w:history="1">
        <w:r w:rsidRPr="00AE08D8">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_Toc183503421 \h </w:instrText>
        </w:r>
        <w:r>
          <w:rPr>
            <w:noProof/>
            <w:webHidden/>
          </w:rPr>
        </w:r>
        <w:r>
          <w:rPr>
            <w:noProof/>
            <w:webHidden/>
          </w:rPr>
          <w:fldChar w:fldCharType="separate"/>
        </w:r>
        <w:r>
          <w:rPr>
            <w:noProof/>
            <w:webHidden/>
          </w:rPr>
          <w:t>90</w:t>
        </w:r>
        <w:r>
          <w:rPr>
            <w:noProof/>
            <w:webHidden/>
          </w:rPr>
          <w:fldChar w:fldCharType="end"/>
        </w:r>
      </w:hyperlink>
    </w:p>
    <w:p w14:paraId="64FA56B5" w14:textId="3104764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2" w:history="1">
        <w:r w:rsidRPr="00AE08D8">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_Toc183503422 \h </w:instrText>
        </w:r>
        <w:r>
          <w:rPr>
            <w:noProof/>
            <w:webHidden/>
          </w:rPr>
        </w:r>
        <w:r>
          <w:rPr>
            <w:noProof/>
            <w:webHidden/>
          </w:rPr>
          <w:fldChar w:fldCharType="separate"/>
        </w:r>
        <w:r>
          <w:rPr>
            <w:noProof/>
            <w:webHidden/>
          </w:rPr>
          <w:t>93</w:t>
        </w:r>
        <w:r>
          <w:rPr>
            <w:noProof/>
            <w:webHidden/>
          </w:rPr>
          <w:fldChar w:fldCharType="end"/>
        </w:r>
      </w:hyperlink>
    </w:p>
    <w:p w14:paraId="72DD551D" w14:textId="418DF0DB"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23" w:history="1">
        <w:r w:rsidRPr="00AE08D8">
          <w:rPr>
            <w:rStyle w:val="Hyperlink"/>
            <w:noProof/>
          </w:rPr>
          <w:t>15 Rapportages in relatie tot prospectussen</w:t>
        </w:r>
        <w:r>
          <w:rPr>
            <w:noProof/>
            <w:webHidden/>
          </w:rPr>
          <w:tab/>
        </w:r>
        <w:r>
          <w:rPr>
            <w:noProof/>
            <w:webHidden/>
          </w:rPr>
          <w:fldChar w:fldCharType="begin"/>
        </w:r>
        <w:r>
          <w:rPr>
            <w:noProof/>
            <w:webHidden/>
          </w:rPr>
          <w:instrText xml:space="preserve"> PAGEREF _Toc183503423 \h </w:instrText>
        </w:r>
        <w:r>
          <w:rPr>
            <w:noProof/>
            <w:webHidden/>
          </w:rPr>
        </w:r>
        <w:r>
          <w:rPr>
            <w:noProof/>
            <w:webHidden/>
          </w:rPr>
          <w:fldChar w:fldCharType="separate"/>
        </w:r>
        <w:r>
          <w:rPr>
            <w:noProof/>
            <w:webHidden/>
          </w:rPr>
          <w:t>97</w:t>
        </w:r>
        <w:r>
          <w:rPr>
            <w:noProof/>
            <w:webHidden/>
          </w:rPr>
          <w:fldChar w:fldCharType="end"/>
        </w:r>
      </w:hyperlink>
    </w:p>
    <w:p w14:paraId="301720F0" w14:textId="2EA84ECF"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4" w:history="1">
        <w:r w:rsidRPr="00AE08D8">
          <w:rPr>
            <w:rStyle w:val="Hyperlink"/>
            <w:noProof/>
          </w:rPr>
          <w:t>15.1 Controleverklaring bij geconsolideerde/gecombineerde financiële overzichten voor speciale doeleinden in verband met een prospectus en opgesteld in overeenstemming met IFRS zoals aanvaard binnen de EU</w:t>
        </w:r>
        <w:r w:rsidRPr="00AE08D8">
          <w:rPr>
            <w:rStyle w:val="Hyperlink"/>
            <w:noProof/>
            <w:vertAlign w:val="superscript"/>
          </w:rPr>
          <w:t xml:space="preserve"> </w:t>
        </w:r>
        <w:r>
          <w:rPr>
            <w:noProof/>
            <w:webHidden/>
          </w:rPr>
          <w:tab/>
        </w:r>
        <w:r>
          <w:rPr>
            <w:noProof/>
            <w:webHidden/>
          </w:rPr>
          <w:fldChar w:fldCharType="begin"/>
        </w:r>
        <w:r>
          <w:rPr>
            <w:noProof/>
            <w:webHidden/>
          </w:rPr>
          <w:instrText xml:space="preserve"> PAGEREF _Toc183503424 \h </w:instrText>
        </w:r>
        <w:r>
          <w:rPr>
            <w:noProof/>
            <w:webHidden/>
          </w:rPr>
        </w:r>
        <w:r>
          <w:rPr>
            <w:noProof/>
            <w:webHidden/>
          </w:rPr>
          <w:fldChar w:fldCharType="separate"/>
        </w:r>
        <w:r>
          <w:rPr>
            <w:noProof/>
            <w:webHidden/>
          </w:rPr>
          <w:t>98</w:t>
        </w:r>
        <w:r>
          <w:rPr>
            <w:noProof/>
            <w:webHidden/>
          </w:rPr>
          <w:fldChar w:fldCharType="end"/>
        </w:r>
      </w:hyperlink>
    </w:p>
    <w:p w14:paraId="02576425" w14:textId="3871A2E4"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5" w:history="1">
        <w:r w:rsidRPr="00AE08D8">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_Toc183503425 \h </w:instrText>
        </w:r>
        <w:r>
          <w:rPr>
            <w:noProof/>
            <w:webHidden/>
          </w:rPr>
        </w:r>
        <w:r>
          <w:rPr>
            <w:noProof/>
            <w:webHidden/>
          </w:rPr>
          <w:fldChar w:fldCharType="separate"/>
        </w:r>
        <w:r>
          <w:rPr>
            <w:noProof/>
            <w:webHidden/>
          </w:rPr>
          <w:t>102</w:t>
        </w:r>
        <w:r>
          <w:rPr>
            <w:noProof/>
            <w:webHidden/>
          </w:rPr>
          <w:fldChar w:fldCharType="end"/>
        </w:r>
      </w:hyperlink>
    </w:p>
    <w:p w14:paraId="6DA98175" w14:textId="4CA95F1A"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6" w:history="1">
        <w:r w:rsidRPr="00AE08D8">
          <w:rPr>
            <w:rStyle w:val="Hyperlink"/>
            <w:noProof/>
          </w:rPr>
          <w:t>15.4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_Toc183503426 \h </w:instrText>
        </w:r>
        <w:r>
          <w:rPr>
            <w:noProof/>
            <w:webHidden/>
          </w:rPr>
        </w:r>
        <w:r>
          <w:rPr>
            <w:noProof/>
            <w:webHidden/>
          </w:rPr>
          <w:fldChar w:fldCharType="separate"/>
        </w:r>
        <w:r>
          <w:rPr>
            <w:noProof/>
            <w:webHidden/>
          </w:rPr>
          <w:t>103</w:t>
        </w:r>
        <w:r>
          <w:rPr>
            <w:noProof/>
            <w:webHidden/>
          </w:rPr>
          <w:fldChar w:fldCharType="end"/>
        </w:r>
      </w:hyperlink>
    </w:p>
    <w:p w14:paraId="1AD8512E" w14:textId="6F6A41DB"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27" w:history="1">
        <w:r w:rsidRPr="00AE08D8">
          <w:rPr>
            <w:rStyle w:val="Hyperlink"/>
            <w:noProof/>
          </w:rPr>
          <w:t>16 Inbrengverklaringen</w:t>
        </w:r>
        <w:r>
          <w:rPr>
            <w:noProof/>
            <w:webHidden/>
          </w:rPr>
          <w:tab/>
        </w:r>
        <w:r>
          <w:rPr>
            <w:noProof/>
            <w:webHidden/>
          </w:rPr>
          <w:fldChar w:fldCharType="begin"/>
        </w:r>
        <w:r>
          <w:rPr>
            <w:noProof/>
            <w:webHidden/>
          </w:rPr>
          <w:instrText xml:space="preserve"> PAGEREF _Toc183503427 \h </w:instrText>
        </w:r>
        <w:r>
          <w:rPr>
            <w:noProof/>
            <w:webHidden/>
          </w:rPr>
        </w:r>
        <w:r>
          <w:rPr>
            <w:noProof/>
            <w:webHidden/>
          </w:rPr>
          <w:fldChar w:fldCharType="separate"/>
        </w:r>
        <w:r>
          <w:rPr>
            <w:noProof/>
            <w:webHidden/>
          </w:rPr>
          <w:t>106</w:t>
        </w:r>
        <w:r>
          <w:rPr>
            <w:noProof/>
            <w:webHidden/>
          </w:rPr>
          <w:fldChar w:fldCharType="end"/>
        </w:r>
      </w:hyperlink>
    </w:p>
    <w:p w14:paraId="77AF1CDC" w14:textId="7953DD2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8" w:history="1">
        <w:r w:rsidRPr="00AE08D8">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_Toc183503428 \h </w:instrText>
        </w:r>
        <w:r>
          <w:rPr>
            <w:noProof/>
            <w:webHidden/>
          </w:rPr>
        </w:r>
        <w:r>
          <w:rPr>
            <w:noProof/>
            <w:webHidden/>
          </w:rPr>
          <w:fldChar w:fldCharType="separate"/>
        </w:r>
        <w:r>
          <w:rPr>
            <w:noProof/>
            <w:webHidden/>
          </w:rPr>
          <w:t>107</w:t>
        </w:r>
        <w:r>
          <w:rPr>
            <w:noProof/>
            <w:webHidden/>
          </w:rPr>
          <w:fldChar w:fldCharType="end"/>
        </w:r>
      </w:hyperlink>
    </w:p>
    <w:p w14:paraId="13F32B3F" w14:textId="78F601E7"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29" w:history="1">
        <w:r w:rsidRPr="00AE08D8">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_Toc183503429 \h </w:instrText>
        </w:r>
        <w:r>
          <w:rPr>
            <w:noProof/>
            <w:webHidden/>
          </w:rPr>
        </w:r>
        <w:r>
          <w:rPr>
            <w:noProof/>
            <w:webHidden/>
          </w:rPr>
          <w:fldChar w:fldCharType="separate"/>
        </w:r>
        <w:r>
          <w:rPr>
            <w:noProof/>
            <w:webHidden/>
          </w:rPr>
          <w:t>110</w:t>
        </w:r>
        <w:r>
          <w:rPr>
            <w:noProof/>
            <w:webHidden/>
          </w:rPr>
          <w:fldChar w:fldCharType="end"/>
        </w:r>
      </w:hyperlink>
    </w:p>
    <w:p w14:paraId="72CEC528" w14:textId="05AF06B7"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0" w:history="1">
        <w:r w:rsidRPr="00AE08D8">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_Toc183503430 \h </w:instrText>
        </w:r>
        <w:r>
          <w:rPr>
            <w:noProof/>
            <w:webHidden/>
          </w:rPr>
        </w:r>
        <w:r>
          <w:rPr>
            <w:noProof/>
            <w:webHidden/>
          </w:rPr>
          <w:fldChar w:fldCharType="separate"/>
        </w:r>
        <w:r>
          <w:rPr>
            <w:noProof/>
            <w:webHidden/>
          </w:rPr>
          <w:t>113</w:t>
        </w:r>
        <w:r>
          <w:rPr>
            <w:noProof/>
            <w:webHidden/>
          </w:rPr>
          <w:fldChar w:fldCharType="end"/>
        </w:r>
      </w:hyperlink>
    </w:p>
    <w:p w14:paraId="016E955B" w14:textId="65138054"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1" w:history="1">
        <w:r w:rsidRPr="00AE08D8">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_Toc183503431 \h </w:instrText>
        </w:r>
        <w:r>
          <w:rPr>
            <w:noProof/>
            <w:webHidden/>
          </w:rPr>
        </w:r>
        <w:r>
          <w:rPr>
            <w:noProof/>
            <w:webHidden/>
          </w:rPr>
          <w:fldChar w:fldCharType="separate"/>
        </w:r>
        <w:r>
          <w:rPr>
            <w:noProof/>
            <w:webHidden/>
          </w:rPr>
          <w:t>117</w:t>
        </w:r>
        <w:r>
          <w:rPr>
            <w:noProof/>
            <w:webHidden/>
          </w:rPr>
          <w:fldChar w:fldCharType="end"/>
        </w:r>
      </w:hyperlink>
    </w:p>
    <w:p w14:paraId="0A64876C" w14:textId="73786FC1"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2" w:history="1">
        <w:r w:rsidRPr="00AE08D8">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_Toc183503432 \h </w:instrText>
        </w:r>
        <w:r>
          <w:rPr>
            <w:noProof/>
            <w:webHidden/>
          </w:rPr>
        </w:r>
        <w:r>
          <w:rPr>
            <w:noProof/>
            <w:webHidden/>
          </w:rPr>
          <w:fldChar w:fldCharType="separate"/>
        </w:r>
        <w:r>
          <w:rPr>
            <w:noProof/>
            <w:webHidden/>
          </w:rPr>
          <w:t>121</w:t>
        </w:r>
        <w:r>
          <w:rPr>
            <w:noProof/>
            <w:webHidden/>
          </w:rPr>
          <w:fldChar w:fldCharType="end"/>
        </w:r>
      </w:hyperlink>
    </w:p>
    <w:p w14:paraId="4DABF906" w14:textId="24D2697A"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33" w:history="1">
        <w:r w:rsidRPr="00AE08D8">
          <w:rPr>
            <w:rStyle w:val="Hyperlink"/>
            <w:noProof/>
          </w:rPr>
          <w:t>17 Splitsingsrapportages</w:t>
        </w:r>
        <w:r>
          <w:rPr>
            <w:noProof/>
            <w:webHidden/>
          </w:rPr>
          <w:tab/>
        </w:r>
        <w:r>
          <w:rPr>
            <w:noProof/>
            <w:webHidden/>
          </w:rPr>
          <w:fldChar w:fldCharType="begin"/>
        </w:r>
        <w:r>
          <w:rPr>
            <w:noProof/>
            <w:webHidden/>
          </w:rPr>
          <w:instrText xml:space="preserve"> PAGEREF _Toc183503433 \h </w:instrText>
        </w:r>
        <w:r>
          <w:rPr>
            <w:noProof/>
            <w:webHidden/>
          </w:rPr>
        </w:r>
        <w:r>
          <w:rPr>
            <w:noProof/>
            <w:webHidden/>
          </w:rPr>
          <w:fldChar w:fldCharType="separate"/>
        </w:r>
        <w:r>
          <w:rPr>
            <w:noProof/>
            <w:webHidden/>
          </w:rPr>
          <w:t>125</w:t>
        </w:r>
        <w:r>
          <w:rPr>
            <w:noProof/>
            <w:webHidden/>
          </w:rPr>
          <w:fldChar w:fldCharType="end"/>
        </w:r>
      </w:hyperlink>
    </w:p>
    <w:p w14:paraId="597D48C3" w14:textId="3454712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4" w:history="1">
        <w:r w:rsidRPr="00AE08D8">
          <w:rPr>
            <w:rStyle w:val="Hyperlink"/>
            <w:noProof/>
          </w:rPr>
          <w:t>17.1 Assurance-rapport betreffende de ruilverhouding van de aandelen bij een voorstel tot zuivere juridische splitsing (artikel 2</w:t>
        </w:r>
        <w:r w:rsidRPr="00AE08D8">
          <w:rPr>
            <w:rStyle w:val="Hyperlink"/>
            <w:noProof/>
          </w:rPr>
          <w:t>:</w:t>
        </w:r>
        <w:r w:rsidRPr="00AE08D8">
          <w:rPr>
            <w:rStyle w:val="Hyperlink"/>
            <w:noProof/>
          </w:rPr>
          <w:t>334aa lid 1 BW), niet zijnde een splitsing als bedoeld in artikel 2:334cc BW</w:t>
        </w:r>
        <w:r>
          <w:rPr>
            <w:noProof/>
            <w:webHidden/>
          </w:rPr>
          <w:tab/>
        </w:r>
        <w:r>
          <w:rPr>
            <w:noProof/>
            <w:webHidden/>
          </w:rPr>
          <w:fldChar w:fldCharType="begin"/>
        </w:r>
        <w:r>
          <w:rPr>
            <w:noProof/>
            <w:webHidden/>
          </w:rPr>
          <w:instrText xml:space="preserve"> PAGEREF _Toc183503434 \h </w:instrText>
        </w:r>
        <w:r>
          <w:rPr>
            <w:noProof/>
            <w:webHidden/>
          </w:rPr>
        </w:r>
        <w:r>
          <w:rPr>
            <w:noProof/>
            <w:webHidden/>
          </w:rPr>
          <w:fldChar w:fldCharType="separate"/>
        </w:r>
        <w:r>
          <w:rPr>
            <w:noProof/>
            <w:webHidden/>
          </w:rPr>
          <w:t>126</w:t>
        </w:r>
        <w:r>
          <w:rPr>
            <w:noProof/>
            <w:webHidden/>
          </w:rPr>
          <w:fldChar w:fldCharType="end"/>
        </w:r>
      </w:hyperlink>
    </w:p>
    <w:p w14:paraId="365D4073" w14:textId="303452FC"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5" w:history="1">
        <w:r w:rsidRPr="00AE08D8">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_Toc183503435 \h </w:instrText>
        </w:r>
        <w:r>
          <w:rPr>
            <w:noProof/>
            <w:webHidden/>
          </w:rPr>
        </w:r>
        <w:r>
          <w:rPr>
            <w:noProof/>
            <w:webHidden/>
          </w:rPr>
          <w:fldChar w:fldCharType="separate"/>
        </w:r>
        <w:r>
          <w:rPr>
            <w:noProof/>
            <w:webHidden/>
          </w:rPr>
          <w:t>129</w:t>
        </w:r>
        <w:r>
          <w:rPr>
            <w:noProof/>
            <w:webHidden/>
          </w:rPr>
          <w:fldChar w:fldCharType="end"/>
        </w:r>
      </w:hyperlink>
    </w:p>
    <w:p w14:paraId="327E4CED" w14:textId="0F58EEF0"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6" w:history="1">
        <w:r w:rsidRPr="00AE08D8">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_Toc183503436 \h </w:instrText>
        </w:r>
        <w:r>
          <w:rPr>
            <w:noProof/>
            <w:webHidden/>
          </w:rPr>
        </w:r>
        <w:r>
          <w:rPr>
            <w:noProof/>
            <w:webHidden/>
          </w:rPr>
          <w:fldChar w:fldCharType="separate"/>
        </w:r>
        <w:r>
          <w:rPr>
            <w:noProof/>
            <w:webHidden/>
          </w:rPr>
          <w:t>132</w:t>
        </w:r>
        <w:r>
          <w:rPr>
            <w:noProof/>
            <w:webHidden/>
          </w:rPr>
          <w:fldChar w:fldCharType="end"/>
        </w:r>
      </w:hyperlink>
    </w:p>
    <w:p w14:paraId="3259EF13" w14:textId="57644F09"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7" w:history="1">
        <w:r w:rsidRPr="00AE08D8">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_Toc183503437 \h </w:instrText>
        </w:r>
        <w:r>
          <w:rPr>
            <w:noProof/>
            <w:webHidden/>
          </w:rPr>
        </w:r>
        <w:r>
          <w:rPr>
            <w:noProof/>
            <w:webHidden/>
          </w:rPr>
          <w:fldChar w:fldCharType="separate"/>
        </w:r>
        <w:r>
          <w:rPr>
            <w:noProof/>
            <w:webHidden/>
          </w:rPr>
          <w:t>137</w:t>
        </w:r>
        <w:r>
          <w:rPr>
            <w:noProof/>
            <w:webHidden/>
          </w:rPr>
          <w:fldChar w:fldCharType="end"/>
        </w:r>
      </w:hyperlink>
    </w:p>
    <w:p w14:paraId="3F35709D" w14:textId="3060752B"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38" w:history="1">
        <w:r w:rsidRPr="00AE08D8">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_Toc183503438 \h </w:instrText>
        </w:r>
        <w:r>
          <w:rPr>
            <w:noProof/>
            <w:webHidden/>
          </w:rPr>
        </w:r>
        <w:r>
          <w:rPr>
            <w:noProof/>
            <w:webHidden/>
          </w:rPr>
          <w:fldChar w:fldCharType="separate"/>
        </w:r>
        <w:r>
          <w:rPr>
            <w:noProof/>
            <w:webHidden/>
          </w:rPr>
          <w:t>139</w:t>
        </w:r>
        <w:r>
          <w:rPr>
            <w:noProof/>
            <w:webHidden/>
          </w:rPr>
          <w:fldChar w:fldCharType="end"/>
        </w:r>
      </w:hyperlink>
    </w:p>
    <w:p w14:paraId="002E002B" w14:textId="45B1B01D" w:rsidR="001A3B0C" w:rsidRDefault="001A3B0C">
      <w:pPr>
        <w:pStyle w:val="Inhopg1"/>
        <w:rPr>
          <w:rFonts w:asciiTheme="minorHAnsi" w:eastAsiaTheme="minorEastAsia" w:hAnsiTheme="minorHAnsi" w:cstheme="minorBidi"/>
          <w:b w:val="0"/>
          <w:bCs w:val="0"/>
          <w:noProof/>
          <w:kern w:val="2"/>
          <w:sz w:val="24"/>
          <w:szCs w:val="24"/>
          <w14:ligatures w14:val="standardContextual"/>
        </w:rPr>
      </w:pPr>
      <w:hyperlink w:anchor="_Toc183503439" w:history="1">
        <w:r w:rsidRPr="00AE08D8">
          <w:rPr>
            <w:rStyle w:val="Hyperlink"/>
            <w:noProof/>
          </w:rPr>
          <w:t>18 Fusierapportages</w:t>
        </w:r>
        <w:r>
          <w:rPr>
            <w:noProof/>
            <w:webHidden/>
          </w:rPr>
          <w:tab/>
        </w:r>
        <w:r>
          <w:rPr>
            <w:noProof/>
            <w:webHidden/>
          </w:rPr>
          <w:fldChar w:fldCharType="begin"/>
        </w:r>
        <w:r>
          <w:rPr>
            <w:noProof/>
            <w:webHidden/>
          </w:rPr>
          <w:instrText xml:space="preserve"> PAGEREF _Toc183503439 \h </w:instrText>
        </w:r>
        <w:r>
          <w:rPr>
            <w:noProof/>
            <w:webHidden/>
          </w:rPr>
        </w:r>
        <w:r>
          <w:rPr>
            <w:noProof/>
            <w:webHidden/>
          </w:rPr>
          <w:fldChar w:fldCharType="separate"/>
        </w:r>
        <w:r>
          <w:rPr>
            <w:noProof/>
            <w:webHidden/>
          </w:rPr>
          <w:t>144</w:t>
        </w:r>
        <w:r>
          <w:rPr>
            <w:noProof/>
            <w:webHidden/>
          </w:rPr>
          <w:fldChar w:fldCharType="end"/>
        </w:r>
      </w:hyperlink>
    </w:p>
    <w:p w14:paraId="7FC92FE2" w14:textId="3D6F339A"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40" w:history="1">
        <w:r w:rsidRPr="00AE08D8">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_Toc183503440 \h </w:instrText>
        </w:r>
        <w:r>
          <w:rPr>
            <w:noProof/>
            <w:webHidden/>
          </w:rPr>
        </w:r>
        <w:r>
          <w:rPr>
            <w:noProof/>
            <w:webHidden/>
          </w:rPr>
          <w:fldChar w:fldCharType="separate"/>
        </w:r>
        <w:r>
          <w:rPr>
            <w:noProof/>
            <w:webHidden/>
          </w:rPr>
          <w:t>145</w:t>
        </w:r>
        <w:r>
          <w:rPr>
            <w:noProof/>
            <w:webHidden/>
          </w:rPr>
          <w:fldChar w:fldCharType="end"/>
        </w:r>
      </w:hyperlink>
    </w:p>
    <w:p w14:paraId="643EEF21" w14:textId="392C0597"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41" w:history="1">
        <w:r w:rsidRPr="00AE08D8">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_Toc183503441 \h </w:instrText>
        </w:r>
        <w:r>
          <w:rPr>
            <w:noProof/>
            <w:webHidden/>
          </w:rPr>
        </w:r>
        <w:r>
          <w:rPr>
            <w:noProof/>
            <w:webHidden/>
          </w:rPr>
          <w:fldChar w:fldCharType="separate"/>
        </w:r>
        <w:r>
          <w:rPr>
            <w:noProof/>
            <w:webHidden/>
          </w:rPr>
          <w:t>150</w:t>
        </w:r>
        <w:r>
          <w:rPr>
            <w:noProof/>
            <w:webHidden/>
          </w:rPr>
          <w:fldChar w:fldCharType="end"/>
        </w:r>
      </w:hyperlink>
    </w:p>
    <w:p w14:paraId="5D68C125" w14:textId="605D20FD" w:rsidR="001A3B0C" w:rsidRDefault="001A3B0C">
      <w:pPr>
        <w:pStyle w:val="Inhopg2"/>
        <w:rPr>
          <w:rFonts w:asciiTheme="minorHAnsi" w:eastAsiaTheme="minorEastAsia" w:hAnsiTheme="minorHAnsi" w:cstheme="minorBidi"/>
          <w:iCs w:val="0"/>
          <w:noProof/>
          <w:kern w:val="2"/>
          <w:sz w:val="24"/>
          <w:szCs w:val="24"/>
          <w14:ligatures w14:val="standardContextual"/>
        </w:rPr>
      </w:pPr>
      <w:hyperlink w:anchor="_Toc183503442" w:history="1">
        <w:r w:rsidRPr="00AE08D8">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_Toc183503442 \h </w:instrText>
        </w:r>
        <w:r>
          <w:rPr>
            <w:noProof/>
            <w:webHidden/>
          </w:rPr>
        </w:r>
        <w:r>
          <w:rPr>
            <w:noProof/>
            <w:webHidden/>
          </w:rPr>
          <w:fldChar w:fldCharType="separate"/>
        </w:r>
        <w:r>
          <w:rPr>
            <w:noProof/>
            <w:webHidden/>
          </w:rPr>
          <w:t>155</w:t>
        </w:r>
        <w:r>
          <w:rPr>
            <w:noProof/>
            <w:webHidden/>
          </w:rPr>
          <w:fldChar w:fldCharType="end"/>
        </w:r>
      </w:hyperlink>
    </w:p>
    <w:p w14:paraId="091D6750" w14:textId="16C68176"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83503385"/>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83503386"/>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83503387"/>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83503388"/>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r w:rsidR="00963939">
        <w:rPr>
          <w:rFonts w:cs="Arial"/>
          <w:lang w:eastAsia="en-US"/>
        </w:rPr>
        <w:t>‘</w:t>
      </w:r>
      <w:r w:rsidRPr="00C2635D">
        <w:rPr>
          <w:rFonts w:cs="Arial"/>
          <w:lang w:eastAsia="en-US"/>
        </w:rPr>
        <w:t>Van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 xml:space="preserve">We have examined (onderzoeksobject: the) … of … </w:t>
      </w:r>
      <w:r w:rsidRPr="0062428C">
        <w:rPr>
          <w:rFonts w:cs="Arial"/>
          <w:lang w:eastAsia="en-US"/>
        </w:rPr>
        <w:t xml:space="preserve">(naam entiteit(en)) </w:t>
      </w:r>
      <w:r w:rsidR="003B34F9" w:rsidRPr="0062428C">
        <w:rPr>
          <w:rFonts w:cs="Arial"/>
          <w:lang w:eastAsia="en-US"/>
        </w:rPr>
        <w:t>ba</w:t>
      </w:r>
      <w:r w:rsidR="003B34F9">
        <w:rPr>
          <w:rFonts w:cs="Arial"/>
          <w:lang w:eastAsia="en-US"/>
        </w:rPr>
        <w:t>sed in</w:t>
      </w:r>
      <w:r w:rsidRPr="0062428C">
        <w:rPr>
          <w:rFonts w:cs="Arial"/>
          <w:lang w:eastAsia="en-US"/>
        </w:rPr>
        <w:t xml:space="preserve"> … </w:t>
      </w:r>
      <w:r w:rsidRPr="0062428C">
        <w:rPr>
          <w:rFonts w:cs="Arial"/>
          <w:lang w:val="en-GB" w:eastAsia="en-US"/>
        </w:rPr>
        <w:t xml:space="preserve">((statutaire) vestigingsplaats)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 xml:space="preserve">In our opinion (onderzoeksobject: the) … </w:t>
      </w:r>
      <w:r w:rsidRPr="0062428C">
        <w:rPr>
          <w:rFonts w:eastAsia="Calibri" w:cs="Arial"/>
          <w:lang w:eastAsia="en-US"/>
        </w:rPr>
        <w:t>[</w:t>
      </w:r>
      <w:r w:rsidRPr="0062428C">
        <w:rPr>
          <w:rFonts w:eastAsia="Calibri" w:cs="Arial"/>
          <w:i/>
          <w:lang w:eastAsia="en-US"/>
        </w:rPr>
        <w:t xml:space="preserve">indien van toepassing: the [indien van toepassing: included in … </w:t>
      </w:r>
      <w:r w:rsidRPr="00C2635D">
        <w:rPr>
          <w:rFonts w:eastAsia="Calibri" w:cs="Arial"/>
          <w:i/>
          <w:lang w:val="en-US" w:eastAsia="en-US"/>
        </w:rPr>
        <w:t>(omvattend document)</w:t>
      </w:r>
      <w:r w:rsidRPr="00C2635D">
        <w:rPr>
          <w:rFonts w:eastAsia="Calibri" w:cs="Arial"/>
          <w:lang w:val="en-US" w:eastAsia="en-US"/>
        </w:rPr>
        <w:t>] of … (naam entiteit(en))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r w:rsidRPr="00C2635D">
        <w:rPr>
          <w:rFonts w:eastAsia="Calibri" w:cs="Arial"/>
          <w:b/>
          <w:i/>
          <w:lang w:val="en-US" w:eastAsia="en-US"/>
        </w:rPr>
        <w:t>Optioneel</w:t>
      </w:r>
      <w:r w:rsidRPr="00C2635D">
        <w:rPr>
          <w:rFonts w:eastAsia="Calibri" w:cs="Arial"/>
          <w:i/>
          <w:lang w:val="en-US" w:eastAsia="en-US"/>
        </w:rPr>
        <w:t>: (Onderzoeksobject: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(onderzoeksobject: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We are independent of …(naam entiteit(en))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[Optioneel: Materiality</w:t>
      </w:r>
    </w:p>
    <w:p w14:paraId="206C7ED3"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[Optioneel: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 xml:space="preserve">[Optioneel: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 xml:space="preserve">The key assurance matters of our examination are those matters that, in our professional judgement, were of most significance in our examination of (onderzoeksobject: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(onderzoeksobject: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[Optioneel: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(onderzoeksobject: the) …, which describes [omstandigheden benoemen…].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[Optioneel: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 xml:space="preserve">(onderzoeksobject: The) … is intended solely for … </w:t>
      </w:r>
      <w:r w:rsidRPr="00C2635D">
        <w:rPr>
          <w:rFonts w:cs="Arial"/>
          <w:i/>
          <w:lang w:eastAsia="en-US"/>
        </w:rPr>
        <w:t xml:space="preserve">[omschrijving specifieke verspreidingskring] and is prepared to assist … (naam entiteit(en)) to comply with the … (omschrijving vereisten, doel, contract, etc.). </w:t>
      </w:r>
      <w:r w:rsidRPr="00C2635D">
        <w:rPr>
          <w:rFonts w:cs="Arial"/>
          <w:i/>
          <w:lang w:val="en-US" w:eastAsia="en-US"/>
        </w:rPr>
        <w:t xml:space="preserve">As a result, (onderzoeksobject: the) … may not be suitable for another purpose. Therefore, our assurance report is intended solely for … (naam entiteit(en)) and … [omschrijving specifieke verspreidingskring]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(onderzoeksobject: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77777777"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(onderzoeksobject: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(onderzoeksobject: the) … that are free from material misstatement, whether due to error or fraud.</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(onderzoeksobject: the) …</w:t>
      </w:r>
    </w:p>
    <w:p w14:paraId="7F63D441" w14:textId="77777777"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and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77777777"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 errors and fraud</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identifying and assessing the risks of material misstatement of (onderzoeksobject: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(naam accountantspraktijk)</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83503389"/>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Er kan ook rechtstreeks naar de betreffende criteria worden verwezen, bijvoorbeeld in het geval dat het een duidelijke en beknopte set van criteria is om naar te verwijzen. In dat geval kunnen de vermelding ervan, de paragra</w:t>
      </w:r>
      <w:r w:rsidR="00963939">
        <w:rPr>
          <w:rFonts w:cs="Arial"/>
          <w:lang w:eastAsia="en-US"/>
        </w:rPr>
        <w:t>‘</w:t>
      </w:r>
      <w:r w:rsidRPr="00C2635D">
        <w:rPr>
          <w:rFonts w:cs="Arial"/>
          <w:lang w:eastAsia="en-US"/>
        </w:rPr>
        <w:t>f 'Van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 xml:space="preserve">We have examined (onderzoeksobject: the) … of … </w:t>
      </w:r>
      <w:r w:rsidRPr="0062428C">
        <w:rPr>
          <w:rFonts w:eastAsia="Calibri" w:cs="Arial"/>
        </w:rPr>
        <w:t>(naam entiteit(en))</w:t>
      </w:r>
      <w:r w:rsidR="003B34F9" w:rsidRPr="0062428C">
        <w:rPr>
          <w:rFonts w:eastAsia="Calibri" w:cs="Arial"/>
        </w:rPr>
        <w:t xml:space="preserve"> based in </w:t>
      </w:r>
      <w:r w:rsidRPr="0062428C">
        <w:rPr>
          <w:rFonts w:eastAsia="Calibri" w:cs="Arial"/>
        </w:rPr>
        <w:t xml:space="preserve">… </w:t>
      </w:r>
      <w:r w:rsidRPr="00C2635D">
        <w:rPr>
          <w:rFonts w:eastAsia="Calibri" w:cs="Arial"/>
          <w:lang w:val="en-US"/>
        </w:rPr>
        <w:t xml:space="preserve">((statutaire) vestigingsplaats)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 xml:space="preserve">evidence obtained nothing has come to our attention that causes us to believe that (onderzoeksobject: the) … </w:t>
      </w:r>
      <w:r w:rsidRPr="00C2635D">
        <w:rPr>
          <w:rFonts w:eastAsia="Calibri" w:cs="Arial"/>
        </w:rPr>
        <w:t>[</w:t>
      </w:r>
      <w:r w:rsidRPr="00C2635D">
        <w:rPr>
          <w:rFonts w:eastAsia="Calibri" w:cs="Arial"/>
          <w:i/>
        </w:rPr>
        <w:t>indien van toepassing: the [indien van toepassing: included in … (omvattend document)</w:t>
      </w:r>
      <w:r w:rsidRPr="00C2635D">
        <w:rPr>
          <w:rFonts w:eastAsia="Calibri" w:cs="Arial"/>
        </w:rPr>
        <w:t xml:space="preserve">] of … </w:t>
      </w:r>
      <w:r w:rsidRPr="00C2635D">
        <w:rPr>
          <w:rFonts w:eastAsia="Calibri" w:cs="Arial"/>
          <w:lang w:val="en-US"/>
        </w:rPr>
        <w:t>(naam entiteit(en))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r w:rsidRPr="00C2635D">
        <w:rPr>
          <w:rFonts w:eastAsia="Calibri" w:cs="Arial"/>
          <w:b/>
          <w:i/>
          <w:lang w:val="en-US"/>
        </w:rPr>
        <w:t>Optioneel</w:t>
      </w:r>
      <w:r w:rsidRPr="00C2635D">
        <w:rPr>
          <w:rFonts w:eastAsia="Calibri" w:cs="Arial"/>
          <w:i/>
          <w:lang w:val="en-US"/>
        </w:rPr>
        <w:t>: (Onderzoeksobject: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limited assurance. Our responsibilities in this regard are further described in the ‘Our responsibilities for the examination of (onderzoeksobject: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We are independent of …(naam entiteit(en))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[Optioneel: Materiality</w:t>
      </w:r>
    </w:p>
    <w:p w14:paraId="6D39E3EC"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[Optioneel: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 xml:space="preserve">[Optioneel: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The key assurance matters of our examination are those matters that, in our professional judgement, were of most significance in our examination of (onderzoeksobject: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(onderzoeksobject: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[Optioneel: Emphasis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(onderzoeksobject: the) …, which describes [omstandigheden benoemen…].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[Optioneel: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(onderzoeksobject: The) … is intended solely for … </w:t>
      </w:r>
      <w:r w:rsidRPr="00C2635D">
        <w:rPr>
          <w:rFonts w:eastAsia="Calibri" w:cs="Arial"/>
          <w:i/>
        </w:rPr>
        <w:t xml:space="preserve">[omschrijving specifieke verspreidingskring] and is prepared to assist … (naam entiteit(en)) to comply with the … (omschrijving vereisten, doel, contract, etc.). </w:t>
      </w:r>
      <w:r w:rsidRPr="00C2635D">
        <w:rPr>
          <w:rFonts w:eastAsia="Calibri" w:cs="Arial"/>
          <w:i/>
          <w:lang w:val="en-US"/>
        </w:rPr>
        <w:t xml:space="preserve">As a result, (onderzoeksobject: the) … may not be suitable for another purpose. Therefore, our assurance report is intended solely for … (naam entiteit(en)) and … [omschrijving specifieke verspreidingskring]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(onderzoeksobject: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777777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(onderzoeksobject: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(onderzoeksobject: the) … that are free from material misstatement, whether due to error or fraud.</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(onderzoeksobject: the) …</w:t>
      </w:r>
    </w:p>
    <w:p w14:paraId="49FD87F5" w14:textId="77777777"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t xml:space="preserve">We apply the ‘Nadere voorschriften kwaliteitssystemen’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77777777"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 xml:space="preserve">identifying areas of (onderzoeksobject: the) … where a material misstatement, whether due to errors of fraud,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xml:space="preserve">, measurement or evaluation of (onderzoeksobject: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(onderzoeksobject</w:t>
      </w:r>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83503390"/>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83503391"/>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Wet op de omzetbelasting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loonbelasting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uitlener), based in … ((statutaire) vestigingsplaats)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uitlener) recorded in the attached statement have been declared and paid to the </w:t>
      </w:r>
      <w:r>
        <w:rPr>
          <w:rFonts w:eastAsia="Calibri" w:cs="Arial"/>
          <w:lang w:val="en-GB" w:eastAsia="en-US"/>
        </w:rPr>
        <w:t>Belastingdienst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loonbelasting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’Assurance-opdrachten anders dan opdrachten tot controle of beoordeling van historische financiële informatie (attest-opdrachten</w:t>
      </w:r>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naam uitlener</w:t>
      </w:r>
      <w:r w:rsidRPr="000C6F42">
        <w:rPr>
          <w:rFonts w:cs="Arial"/>
          <w:lang w:val="en-GB" w:eastAsia="en-US"/>
        </w:rPr>
        <w:t>) in accordance with the ‘</w:t>
      </w:r>
      <w:r w:rsidRPr="00986837">
        <w:rPr>
          <w:rFonts w:cs="Arial"/>
          <w:lang w:val="en-US" w:eastAsia="en-US"/>
        </w:rPr>
        <w:t>Verordening inzake de onafhankelijkheid van accountants bij assurance-opdrachten’ (ViO</w:t>
      </w:r>
      <w:r w:rsidRPr="000C6F42">
        <w:rPr>
          <w:rFonts w:cs="Arial"/>
          <w:lang w:val="en-GB" w:eastAsia="en-US"/>
        </w:rPr>
        <w:t>, Code of Ethics for Professional Accountants, a regulation with respect to independence). Furthermore we have complied with the ‘</w:t>
      </w:r>
      <w:r w:rsidRPr="00986837">
        <w:rPr>
          <w:rFonts w:cs="Arial"/>
          <w:lang w:val="en-US" w:eastAsia="en-US"/>
        </w:rPr>
        <w:t>Verordening gedrags- en beroepsregels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inlener) and is prepared for … (naam inlener) to assist …(naam uitlener) to comply with the … </w:t>
      </w:r>
      <w:r>
        <w:rPr>
          <w:rFonts w:cs="Arial"/>
          <w:lang w:eastAsia="en-US"/>
        </w:rPr>
        <w:t xml:space="preserve">[verwijzing naar contract / overeenkomst waarin deze assurance-opdracht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r>
        <w:rPr>
          <w:rFonts w:cs="Arial"/>
          <w:lang w:val="en-GB" w:eastAsia="en-US"/>
        </w:rPr>
        <w:t>uitlener</w:t>
      </w:r>
      <w:r w:rsidRPr="00CD17A4">
        <w:rPr>
          <w:rFonts w:cs="Arial"/>
          <w:lang w:val="en-GB" w:eastAsia="en-US"/>
        </w:rPr>
        <w:t xml:space="preserve">) and … </w:t>
      </w:r>
      <w:r>
        <w:rPr>
          <w:rFonts w:cs="Arial"/>
          <w:lang w:val="en-GB" w:eastAsia="en-US"/>
        </w:rPr>
        <w:t>(naam inlener)</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omzetbelasting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omzetbelasting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77777777"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and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77777777" w:rsidR="005B281E" w:rsidRPr="00E37B9A" w:rsidRDefault="005B281E" w:rsidP="005B281E">
      <w:pPr>
        <w:widowControl w:val="0"/>
        <w:rPr>
          <w:rFonts w:cs="Arial"/>
          <w:lang w:val="en-GB" w:eastAsia="en-US"/>
        </w:rPr>
      </w:pPr>
      <w:r w:rsidRPr="6F0423E0">
        <w:rPr>
          <w:rFonts w:cs="Arial"/>
          <w:lang w:val="en-GB" w:eastAsia="en-US"/>
        </w:rPr>
        <w:t>Our examination has been performed with a high, but not absolute, level of assurance, which means we may not detect all material errors and fraud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 xml:space="preserve">We apply the ‘Nadere voorschriften kwaliteitssystemen’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77777777"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omzetbelasting </w:t>
      </w:r>
      <w:r w:rsidRPr="6F0423E0">
        <w:rPr>
          <w:rFonts w:cs="Arial"/>
          <w:lang w:val="en-GB" w:eastAsia="en-US"/>
        </w:rPr>
        <w:t xml:space="preserve">1968 and the </w:t>
      </w:r>
      <w:r w:rsidR="00926436">
        <w:rPr>
          <w:rFonts w:eastAsia="Calibri" w:cs="Arial"/>
          <w:szCs w:val="22"/>
          <w:lang w:val="en-GB" w:eastAsia="en-US"/>
        </w:rPr>
        <w:t>Wet op de Loonbelasting 1964</w:t>
      </w:r>
      <w:r w:rsidRPr="6F0423E0">
        <w:rPr>
          <w:rFonts w:cs="Arial"/>
          <w:lang w:val="en-GB" w:eastAsia="en-US"/>
        </w:rPr>
        <w:t>, whether due to errors or fraud,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6" w:name="_Toc513628952"/>
      <w:bookmarkStart w:id="67" w:name="_Toc42070831"/>
      <w:bookmarkStart w:id="68" w:name="_Toc53399342"/>
      <w:bookmarkStart w:id="69" w:name="_Toc111791857"/>
      <w:bookmarkStart w:id="70" w:name="_Toc111798514"/>
      <w:bookmarkStart w:id="71" w:name="_Toc111798846"/>
      <w:bookmarkStart w:id="72" w:name="_Toc183503392"/>
      <w:r w:rsidRPr="00206460">
        <w:t>3.2 Onderzoeksrapporten</w:t>
      </w:r>
      <w:bookmarkEnd w:id="66"/>
      <w:bookmarkEnd w:id="67"/>
      <w:bookmarkEnd w:id="68"/>
      <w:bookmarkEnd w:id="69"/>
      <w:bookmarkEnd w:id="70"/>
      <w:bookmarkEnd w:id="71"/>
      <w:bookmarkEnd w:id="72"/>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3" w:name="_Toc413836788"/>
      <w:bookmarkStart w:id="74" w:name="_Toc413837107"/>
      <w:bookmarkStart w:id="75" w:name="_Toc413837879"/>
      <w:bookmarkStart w:id="76" w:name="_Toc513624986"/>
      <w:bookmarkStart w:id="77" w:name="_Toc513628953"/>
      <w:bookmarkStart w:id="78" w:name="_Toc42070832"/>
      <w:bookmarkStart w:id="79" w:name="_Toc53399343"/>
      <w:bookmarkStart w:id="80" w:name="_Toc111791858"/>
      <w:bookmarkStart w:id="81" w:name="_Toc111798515"/>
      <w:bookmarkStart w:id="82" w:name="_Toc111798847"/>
      <w:bookmarkStart w:id="83" w:name="_Toc183503393"/>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3"/>
      <w:bookmarkEnd w:id="74"/>
      <w:bookmarkEnd w:id="75"/>
      <w:bookmarkEnd w:id="76"/>
      <w:bookmarkEnd w:id="77"/>
      <w:bookmarkEnd w:id="78"/>
      <w:r w:rsidR="000A5E75" w:rsidRPr="00B53511">
        <w:rPr>
          <w:lang w:eastAsia="en-US"/>
        </w:rPr>
        <w:t>bij onderzoek van toekomstgerichte financiële informatie (prognose)</w:t>
      </w:r>
      <w:bookmarkEnd w:id="79"/>
      <w:bookmarkEnd w:id="80"/>
      <w:bookmarkEnd w:id="81"/>
      <w:bookmarkEnd w:id="82"/>
      <w:bookmarkEnd w:id="83"/>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(datum) of … (naam entiteit(en)),</w:t>
      </w:r>
      <w:r w:rsidR="00A24C24" w:rsidRPr="008637E7">
        <w:rPr>
          <w:rFonts w:eastAsia="Calibri" w:cs="Arial"/>
          <w:lang w:val="en-GB" w:eastAsia="en-US"/>
        </w:rPr>
        <w:t xml:space="preserve"> based in</w:t>
      </w:r>
      <w:r w:rsidRPr="008637E7">
        <w:rPr>
          <w:rFonts w:eastAsia="Calibri" w:cs="Arial"/>
          <w:lang w:val="en-GB" w:eastAsia="en-US"/>
        </w:rPr>
        <w:t xml:space="preserve"> … ((statutaire) vestigingsplaats).</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entiteit(en)).</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‘Onderzoek van toekomstgerichte financiële informatie’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naam entiteit(en))</w:t>
      </w:r>
      <w:r w:rsidRPr="000A5E75">
        <w:rPr>
          <w:rFonts w:eastAsia="Calibri" w:cs="Arial"/>
          <w:lang w:val="en-US" w:eastAsia="en-US"/>
        </w:rPr>
        <w:t xml:space="preserve"> in accordance with the </w:t>
      </w:r>
      <w:r w:rsidRPr="000A5E75">
        <w:rPr>
          <w:rFonts w:eastAsia="Calibri" w:cs="Arial"/>
          <w:lang w:val="en-GB" w:eastAsia="en-US"/>
        </w:rPr>
        <w:t>Verordening inzake de onafhankelijkheid van accountants bij assurance-opdrachten (ViO</w:t>
      </w:r>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r w:rsidRPr="000A5E75">
        <w:rPr>
          <w:rFonts w:eastAsia="Calibri" w:cs="Arial"/>
          <w:lang w:val="en-GB" w:eastAsia="en-US"/>
        </w:rPr>
        <w:t>Verordening gedrags- en beroepsregels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and is prepared to assist … (naam entiteit(en)) to comply with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naam entiteit(en</w:t>
      </w:r>
      <w:r w:rsidRPr="000A5E75">
        <w:rPr>
          <w:rFonts w:eastAsia="Calibri" w:cs="Arial"/>
          <w:bCs/>
          <w:iCs/>
          <w:lang w:val="en-US" w:eastAsia="en-US"/>
        </w:rPr>
        <w:t>)) and … (</w:t>
      </w:r>
      <w:r w:rsidRPr="000A5E75">
        <w:rPr>
          <w:rFonts w:eastAsia="Calibri" w:cs="Arial"/>
          <w:bCs/>
          <w:iCs/>
          <w:lang w:val="en-GB" w:eastAsia="en-US"/>
        </w:rPr>
        <w:t>omschrijving specifieke verspreidingskring)</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(naam entiteit(en)),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77777777"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r w:rsidRPr="000A5E75">
        <w:rPr>
          <w:rFonts w:eastAsia="Calibri" w:cs="Arial"/>
          <w:lang w:val="en-GB" w:eastAsia="en-US"/>
        </w:rPr>
        <w:t>Nadere voorschriften kwaliteitssystemen’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of … (naam entiteit(en))</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entiteit(en),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lastRenderedPageBreak/>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5" w:name="_Toc413836789"/>
      <w:bookmarkStart w:id="86" w:name="_Toc413837108"/>
      <w:bookmarkStart w:id="87" w:name="_Toc413837880"/>
      <w:bookmarkStart w:id="88" w:name="_Toc513624987"/>
      <w:bookmarkStart w:id="89" w:name="_Toc513628954"/>
      <w:bookmarkStart w:id="90" w:name="_Toc42070833"/>
      <w:bookmarkStart w:id="91" w:name="_Toc53399344"/>
      <w:bookmarkStart w:id="92" w:name="_Toc111791859"/>
      <w:bookmarkStart w:id="93" w:name="_Toc111798516"/>
      <w:bookmarkStart w:id="94" w:name="_Toc111798848"/>
      <w:bookmarkStart w:id="95" w:name="_Toc183503394"/>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5"/>
      <w:bookmarkEnd w:id="86"/>
      <w:bookmarkEnd w:id="87"/>
      <w:bookmarkEnd w:id="88"/>
      <w:bookmarkEnd w:id="89"/>
      <w:bookmarkEnd w:id="90"/>
      <w:r w:rsidR="000A5E75" w:rsidRPr="00BF275E">
        <w:t>onderzoek van toekomstg</w:t>
      </w:r>
      <w:r w:rsidR="000A5E75">
        <w:t>erichte financiële informatie (p</w:t>
      </w:r>
      <w:r w:rsidR="000A5E75" w:rsidRPr="00BF275E">
        <w:t>rojectie)</w:t>
      </w:r>
      <w:bookmarkEnd w:id="91"/>
      <w:bookmarkEnd w:id="92"/>
      <w:bookmarkEnd w:id="93"/>
      <w:bookmarkEnd w:id="94"/>
      <w:bookmarkEnd w:id="95"/>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 xml:space="preserve">We have examined the … (aanduiding projectie)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entiteit(en)), </w:t>
      </w:r>
      <w:r w:rsidR="003E1877" w:rsidRPr="008637E7">
        <w:rPr>
          <w:rFonts w:eastAsia="Calibri" w:cs="Arial"/>
          <w:lang w:val="en-GB" w:eastAsia="en-US"/>
        </w:rPr>
        <w:t xml:space="preserve">based in </w:t>
      </w:r>
      <w:r w:rsidRPr="008637E7">
        <w:rPr>
          <w:rFonts w:eastAsia="Calibri" w:cs="Arial"/>
          <w:lang w:val="en-GB" w:eastAsia="en-US"/>
        </w:rPr>
        <w:t>… ((statutaire) vestigingsplaats).</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r w:rsidRPr="000A5E75">
        <w:rPr>
          <w:rFonts w:eastAsia="Calibri" w:cs="Arial"/>
          <w:iCs/>
          <w:lang w:val="en-GB" w:eastAsia="en-US"/>
        </w:rPr>
        <w:t>vermeld of verwijs naar de hypothese</w:t>
      </w:r>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(naam entiteit(en)).</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‘Onderzoek van toekomstgerichte financiële informatie’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naam entiteit(en))</w:t>
      </w:r>
      <w:r w:rsidRPr="000A5E75">
        <w:rPr>
          <w:rFonts w:eastAsia="Calibri" w:cs="Arial"/>
          <w:lang w:val="en-US" w:eastAsia="en-US"/>
        </w:rPr>
        <w:t xml:space="preserve"> in accordance with the </w:t>
      </w:r>
      <w:r w:rsidRPr="000A5E75">
        <w:rPr>
          <w:rFonts w:eastAsia="Calibri" w:cs="Arial"/>
          <w:lang w:val="en-GB" w:eastAsia="en-US"/>
        </w:rPr>
        <w:t>Verordening inzake de onafhankelijkheid van accountants bij assurance-opdrachten (ViO</w:t>
      </w:r>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r w:rsidRPr="000A5E75">
        <w:rPr>
          <w:rFonts w:eastAsia="Calibri" w:cs="Arial"/>
          <w:lang w:val="en-GB" w:eastAsia="en-US"/>
        </w:rPr>
        <w:t>Verordening gedrags- en beroepsregels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and is prepared to assist … (naam entiteit(en)) to comply with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naam entiteit(en</w:t>
      </w:r>
      <w:r w:rsidRPr="000A5E75">
        <w:rPr>
          <w:rFonts w:eastAsia="Calibri" w:cs="Arial"/>
          <w:bCs/>
          <w:iCs/>
          <w:lang w:val="en-US" w:eastAsia="en-US"/>
        </w:rPr>
        <w:t>)) and … (</w:t>
      </w:r>
      <w:r w:rsidRPr="000A5E75">
        <w:rPr>
          <w:rFonts w:eastAsia="Calibri" w:cs="Arial"/>
          <w:bCs/>
          <w:iCs/>
          <w:lang w:val="en-GB" w:eastAsia="en-US"/>
        </w:rPr>
        <w:t>omschrijving specifieke verspreidingskring)</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(naam entiteit(en)),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77777777"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r w:rsidRPr="000A5E75">
        <w:rPr>
          <w:rFonts w:eastAsia="Calibri" w:cs="Arial"/>
          <w:lang w:val="en-GB" w:eastAsia="en-US"/>
        </w:rPr>
        <w:t>Nadere voorschriften kwaliteitssystemen’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of … (naam entiteit(en))</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lastRenderedPageBreak/>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entiteit(en),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6" w:name="_Toc42070834"/>
      <w:bookmarkStart w:id="97" w:name="_Toc53399345"/>
      <w:bookmarkStart w:id="98" w:name="_Toc111791860"/>
      <w:bookmarkStart w:id="99" w:name="_Toc111798517"/>
      <w:bookmarkStart w:id="100" w:name="_Toc111798849"/>
      <w:bookmarkStart w:id="101" w:name="_Toc183503395"/>
      <w:r w:rsidRPr="00C2635D">
        <w:t>3.3 Type 1 Assurance-rapporten van de accountant van de serviceorganisatie</w:t>
      </w:r>
      <w:bookmarkEnd w:id="96"/>
      <w:bookmarkEnd w:id="97"/>
      <w:bookmarkEnd w:id="98"/>
      <w:bookmarkEnd w:id="99"/>
      <w:bookmarkEnd w:id="100"/>
      <w:bookmarkEnd w:id="101"/>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2" w:name="_Toc42070835"/>
      <w:bookmarkStart w:id="103" w:name="_Toc53399346"/>
      <w:bookmarkStart w:id="104" w:name="_Toc111791861"/>
      <w:bookmarkStart w:id="105" w:name="_Toc111798518"/>
      <w:bookmarkStart w:id="106" w:name="_Toc111798850"/>
      <w:bookmarkStart w:id="107" w:name="_Toc183503396"/>
      <w:r w:rsidRPr="00C2635D">
        <w:rPr>
          <w:lang w:eastAsia="en-US"/>
        </w:rPr>
        <w:t>3.3.1 Assurance-rapport in nieuw format van de onafhankelijke accountant van de serviceorganisatie over de beschrijving en de opzet van interne beheersingsmaatregelen (type 1)</w:t>
      </w:r>
      <w:bookmarkEnd w:id="102"/>
      <w:bookmarkEnd w:id="103"/>
      <w:bookmarkEnd w:id="104"/>
      <w:bookmarkEnd w:id="105"/>
      <w:bookmarkEnd w:id="106"/>
      <w:bookmarkEnd w:id="107"/>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serviceorganisatie)’s description [entitled … </w:t>
      </w:r>
      <w:r w:rsidRPr="00C2635D">
        <w:rPr>
          <w:rFonts w:eastAsia="Calibri" w:cs="Arial"/>
          <w:lang w:bidi="ar-DZ"/>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A095582"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r w:rsidR="00963939">
        <w:rPr>
          <w:rFonts w:eastAsia="Calibri" w:cs="Arial"/>
          <w:lang w:val="en-GB" w:bidi="ar-DZ"/>
        </w:rPr>
        <w:t>rgan</w:t>
      </w:r>
      <w:r w:rsidRPr="00C2635D">
        <w:rPr>
          <w:rFonts w:eastAsia="Calibri" w:cs="Arial"/>
          <w:lang w:val="en-GB" w:bidi="ar-DZ"/>
        </w:rPr>
        <w:t>tel sectie vermelding van de serviceorganisatie) (statement).</w:t>
      </w:r>
    </w:p>
    <w:p w14:paraId="37B238C6" w14:textId="77777777" w:rsidR="00803B8B" w:rsidRPr="00C2635D"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The ViO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xml:space="preserve">…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63222EB9"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963939">
        <w:rPr>
          <w:rFonts w:eastAsia="Calibri" w:cs="Arial"/>
          <w:i/>
          <w:lang w:val="en-GB"/>
        </w:rPr>
        <w:pgNum/>
      </w:r>
      <w:r w:rsidR="00963939">
        <w:rPr>
          <w:rFonts w:eastAsia="Calibri" w:cs="Arial"/>
          <w:i/>
          <w:lang w:val="en-GB"/>
        </w:rPr>
        <w:t>rgan</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and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FB1AC4">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8" w:name="_Toc42070836"/>
      <w:bookmarkStart w:id="109" w:name="_Toc53399347"/>
      <w:bookmarkStart w:id="110" w:name="_Toc111791862"/>
      <w:bookmarkStart w:id="111" w:name="_Toc111798519"/>
      <w:bookmarkStart w:id="112" w:name="_Toc111798851"/>
      <w:bookmarkStart w:id="113" w:name="_Toc183503397"/>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8"/>
      <w:bookmarkEnd w:id="109"/>
      <w:bookmarkEnd w:id="110"/>
      <w:bookmarkEnd w:id="111"/>
      <w:bookmarkEnd w:id="112"/>
      <w:bookmarkEnd w:id="113"/>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serviceorganisatie)’s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31674886"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r w:rsidR="00963939">
        <w:rPr>
          <w:rFonts w:eastAsia="Calibri" w:cs="Arial"/>
          <w:lang w:val="en-GB" w:bidi="ar-DZ"/>
        </w:rPr>
        <w:t>rgan</w:t>
      </w:r>
      <w:r w:rsidRPr="00C2635D">
        <w:rPr>
          <w:rFonts w:eastAsia="Calibri" w:cs="Arial"/>
          <w:lang w:val="en-GB" w:bidi="ar-DZ"/>
        </w:rPr>
        <w:t>tel sectie vermelding van de serviceorganisatie) (statement).</w:t>
      </w:r>
    </w:p>
    <w:p w14:paraId="2A3CA4BF" w14:textId="77777777" w:rsidR="00803B8B" w:rsidRPr="00C2635D"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(paginanummer) that …(naam serviceorganisatie)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The ViO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625603E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963939">
        <w:rPr>
          <w:rFonts w:eastAsia="Calibri" w:cs="Arial"/>
          <w:i/>
          <w:lang w:val="en-GB"/>
        </w:rPr>
        <w:pgNum/>
      </w:r>
      <w:r w:rsidR="00963939">
        <w:rPr>
          <w:rFonts w:eastAsia="Calibri" w:cs="Arial"/>
          <w:i/>
          <w:lang w:val="en-GB"/>
        </w:rPr>
        <w:t>rgan</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5942E1">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4" w:name="_Toc42070837"/>
      <w:bookmarkStart w:id="115" w:name="_Toc53399348"/>
      <w:bookmarkStart w:id="116" w:name="_Toc111791863"/>
      <w:bookmarkStart w:id="117" w:name="_Toc111798520"/>
      <w:bookmarkStart w:id="118" w:name="_Toc111798852"/>
      <w:bookmarkStart w:id="119" w:name="_Toc183503398"/>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4"/>
      <w:bookmarkEnd w:id="115"/>
      <w:bookmarkEnd w:id="116"/>
      <w:bookmarkEnd w:id="117"/>
      <w:bookmarkEnd w:id="118"/>
      <w:bookmarkEnd w:id="119"/>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serviceorganisatie)’s description [entitled … </w:t>
      </w:r>
      <w:r w:rsidRPr="00C2635D">
        <w:rPr>
          <w:rFonts w:eastAsia="Calibri" w:cs="Arial"/>
          <w:lang w:bidi="ar-DZ"/>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18E1DE10"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r w:rsidR="00963939">
        <w:rPr>
          <w:rFonts w:eastAsia="Calibri" w:cs="Arial"/>
          <w:lang w:val="en-GB" w:bidi="ar-DZ"/>
        </w:rPr>
        <w:t>rgan</w:t>
      </w:r>
      <w:r w:rsidRPr="00C2635D">
        <w:rPr>
          <w:rFonts w:eastAsia="Calibri" w:cs="Arial"/>
          <w:lang w:val="en-GB" w:bidi="ar-DZ"/>
        </w:rPr>
        <w:t>tel sectie vermelding van de serviceorganisatie) (statement).</w:t>
      </w:r>
    </w:p>
    <w:p w14:paraId="64C2B9EF" w14:textId="77777777" w:rsidR="00803B8B" w:rsidRPr="00C2635D"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(paginanummer) of the description, from time to time … (naam serviceorganisatie)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5942E1">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The ViO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C10D76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963939">
        <w:rPr>
          <w:rFonts w:eastAsia="Calibri" w:cs="Arial"/>
          <w:i/>
          <w:lang w:val="en-GB"/>
        </w:rPr>
        <w:pgNum/>
      </w:r>
      <w:r w:rsidR="00963939">
        <w:rPr>
          <w:rFonts w:eastAsia="Calibri" w:cs="Arial"/>
          <w:i/>
          <w:lang w:val="en-GB"/>
        </w:rPr>
        <w:t>rgan</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AC386B">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0" w:name="_Toc42070838"/>
      <w:bookmarkStart w:id="121" w:name="_Toc53399349"/>
      <w:bookmarkStart w:id="122" w:name="_Toc111791864"/>
      <w:bookmarkStart w:id="123" w:name="_Toc111798521"/>
      <w:bookmarkStart w:id="124" w:name="_Toc111798853"/>
      <w:bookmarkStart w:id="125" w:name="_Toc183503399"/>
      <w:r w:rsidRPr="00C2635D">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20"/>
      <w:bookmarkEnd w:id="121"/>
      <w:bookmarkEnd w:id="122"/>
      <w:bookmarkEnd w:id="123"/>
      <w:bookmarkEnd w:id="124"/>
      <w:bookmarkEnd w:id="125"/>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serviceorganisatie)’s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1D24E1EA"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r w:rsidR="00963939">
        <w:rPr>
          <w:rFonts w:eastAsia="Calibri" w:cs="Arial"/>
          <w:lang w:val="en-GB" w:bidi="ar-DZ"/>
        </w:rPr>
        <w:t>rgan</w:t>
      </w:r>
      <w:r w:rsidRPr="00C2635D">
        <w:rPr>
          <w:rFonts w:eastAsia="Calibri" w:cs="Arial"/>
          <w:lang w:val="en-GB" w:bidi="ar-DZ"/>
        </w:rPr>
        <w:t>tel sectie vermelding van de serviceorganisatie) (statement).</w:t>
      </w:r>
    </w:p>
    <w:p w14:paraId="0A904269" w14:textId="77777777" w:rsidR="00803B8B" w:rsidRPr="00C2635D"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…(naam serviceorganisatie)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The ViO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963939">
        <w:rPr>
          <w:rFonts w:eastAsia="Calibri" w:cs="Arial"/>
          <w:i/>
          <w:lang w:val="en-GB"/>
        </w:rPr>
        <w:pgNum/>
      </w:r>
      <w:r w:rsidR="00963939">
        <w:rPr>
          <w:rFonts w:eastAsia="Calibri" w:cs="Arial"/>
          <w:i/>
          <w:lang w:val="en-GB"/>
        </w:rPr>
        <w:t>rgan</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AC386B">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6" w:name="_Toc42070839"/>
      <w:bookmarkStart w:id="127" w:name="_Toc53399350"/>
      <w:bookmarkStart w:id="128" w:name="_Toc111791865"/>
      <w:bookmarkStart w:id="129" w:name="_Toc111798522"/>
      <w:bookmarkStart w:id="130" w:name="_Toc111798854"/>
      <w:bookmarkStart w:id="131" w:name="_Toc183503400"/>
      <w:r w:rsidRPr="00C2635D">
        <w:t>3.4 Type 2 Assurance-rapporten van de accountant van de serviceorganisatie</w:t>
      </w:r>
      <w:bookmarkEnd w:id="126"/>
      <w:bookmarkEnd w:id="127"/>
      <w:bookmarkEnd w:id="128"/>
      <w:bookmarkEnd w:id="129"/>
      <w:bookmarkEnd w:id="130"/>
      <w:bookmarkEnd w:id="131"/>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2" w:name="_Toc42070840"/>
      <w:bookmarkStart w:id="133" w:name="_Toc53399351"/>
      <w:bookmarkStart w:id="134" w:name="_Toc111791866"/>
      <w:bookmarkStart w:id="135" w:name="_Toc111798523"/>
      <w:bookmarkStart w:id="136" w:name="_Toc111798855"/>
      <w:bookmarkStart w:id="137" w:name="_Toc183503401"/>
      <w:r w:rsidRPr="00C2635D">
        <w:rPr>
          <w:lang w:eastAsia="en-US"/>
        </w:rPr>
        <w:t>3.4.1 Assurance-rapport in nieuw format van de onafhankelijke accountant van de serviceorganisatie over de beschrijving en de opzet en werking van interne beheersingsmaatregelen (type 2)</w:t>
      </w:r>
      <w:bookmarkEnd w:id="132"/>
      <w:bookmarkEnd w:id="133"/>
      <w:bookmarkEnd w:id="134"/>
      <w:bookmarkEnd w:id="135"/>
      <w:bookmarkEnd w:id="136"/>
      <w:bookmarkEnd w:id="137"/>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8" w:name="_Hlk12173813"/>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bookmarkStart w:id="139"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39"/>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bookmarkEnd w:id="138"/>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 xml:space="preserve">(titel sectie ‘Beschrijving van </w:t>
      </w:r>
      <w:r w:rsidRPr="00C2635D">
        <w:rPr>
          <w:rFonts w:cs="Arial"/>
          <w:lang w:eastAsia="en-GB"/>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07"/>
      </w:r>
      <w:r w:rsidRPr="00C2635D">
        <w:rPr>
          <w:rFonts w:cs="Arial"/>
          <w:lang w:eastAsia="en-GB"/>
        </w:rPr>
        <w:t xml:space="preserve"> (system) throughout the period from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0FEDA95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r w:rsidR="00963939">
        <w:rPr>
          <w:rFonts w:cs="Arial"/>
          <w:lang w:val="en-GB" w:eastAsia="en-GB"/>
        </w:rPr>
        <w:t>rgan</w:t>
      </w:r>
      <w:r w:rsidRPr="00C2635D">
        <w:rPr>
          <w:rFonts w:cs="Arial"/>
          <w:lang w:val="en-GB" w:eastAsia="en-GB"/>
        </w:rPr>
        <w:t>tel sectie vermelding van de serviceorganisatie) (statement).</w:t>
      </w:r>
    </w:p>
    <w:p w14:paraId="2CE412AB" w14:textId="77777777" w:rsidR="00803B8B" w:rsidRPr="00C2635D" w:rsidRDefault="00803B8B" w:rsidP="001A439A">
      <w:pPr>
        <w:widowControl w:val="0"/>
        <w:shd w:val="clear" w:color="auto" w:fill="FFFFFF"/>
        <w:rPr>
          <w:rFonts w:eastAsia="Calibri" w:cs="Arial"/>
          <w:szCs w:val="18"/>
          <w:lang w:val="en-US" w:bidi="ar-DZ"/>
        </w:rPr>
      </w:pPr>
    </w:p>
    <w:p w14:paraId="44AD02E9" w14:textId="2B8624E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963939">
        <w:rPr>
          <w:rFonts w:eastAsia="Calibri" w:cs="Arial"/>
        </w:rPr>
        <w:t>’</w:t>
      </w:r>
      <w:r w:rsidRPr="00C2635D">
        <w:rPr>
          <w:rFonts w:eastAsia="Calibri" w:cs="Arial"/>
        </w:rPr>
        <w:t>or’s toetsingswerkzaamheden en toetsingsresultaten) (description of tests and results).</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F9C222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ceo</w:t>
      </w:r>
      <w:r w:rsidR="00963939">
        <w:rPr>
          <w:rFonts w:eastAsia="Calibri" w:cs="Arial"/>
          <w:lang w:val="en-US"/>
        </w:rPr>
        <w:t>rganization</w:t>
      </w:r>
      <w:r w:rsidRPr="00C2635D">
        <w:rPr>
          <w:rFonts w:eastAsia="Calibri" w:cs="Arial"/>
          <w:lang w:val="en-US"/>
        </w:rPr>
        <w:t xml:space="preserve">) </w:t>
      </w:r>
      <w:r w:rsidRPr="00C2635D">
        <w:rPr>
          <w:rFonts w:eastAsia="Calibri" w:cs="Arial"/>
          <w:b/>
          <w:lang w:val="en-US"/>
        </w:rPr>
        <w:t>[</w:t>
      </w:r>
      <w:r w:rsidRPr="00C2635D">
        <w:rPr>
          <w:rFonts w:eastAsia="Calibri" w:cs="Arial"/>
          <w:b/>
          <w:i/>
          <w:lang w:val="en-US"/>
        </w:rPr>
        <w:t>optioneel</w:t>
      </w:r>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The ViO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0F5C0FD" w14:textId="18DE4D89"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ceo</w:t>
      </w:r>
      <w:r w:rsidR="00963939">
        <w:rPr>
          <w:rFonts w:cs="Arial"/>
          <w:lang w:val="en-US" w:eastAsia="en-GB"/>
        </w:rPr>
        <w:t>rganization</w:t>
      </w:r>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1" w:name="_Toc42070841"/>
      <w:bookmarkStart w:id="142" w:name="_Toc53399352"/>
      <w:bookmarkStart w:id="143" w:name="_Toc111791867"/>
      <w:bookmarkStart w:id="144" w:name="_Toc111798524"/>
      <w:bookmarkStart w:id="145" w:name="_Toc111798856"/>
      <w:bookmarkStart w:id="146" w:name="_Toc183503402"/>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bookmarkEnd w:id="141"/>
      <w:bookmarkEnd w:id="142"/>
      <w:bookmarkEnd w:id="143"/>
      <w:bookmarkEnd w:id="144"/>
      <w:bookmarkEnd w:id="145"/>
      <w:bookmarkEnd w:id="146"/>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7" w:name="_Toc42070842"/>
      <w:bookmarkStart w:id="148" w:name="_Toc53399353"/>
      <w:bookmarkStart w:id="149" w:name="_Toc111791868"/>
      <w:bookmarkStart w:id="150" w:name="_Toc111798525"/>
      <w:bookmarkStart w:id="151" w:name="_Toc111798857"/>
      <w:bookmarkStart w:id="152" w:name="_Toc183503403"/>
      <w:r w:rsidRPr="00C2635D">
        <w:rPr>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bookmarkEnd w:id="147"/>
      <w:bookmarkEnd w:id="148"/>
      <w:bookmarkEnd w:id="149"/>
      <w:bookmarkEnd w:id="150"/>
      <w:bookmarkEnd w:id="151"/>
      <w:bookmarkEnd w:id="152"/>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We have examined … (naam serviceorganisatie)’s description [entitled … </w:t>
      </w:r>
      <w:r w:rsidRPr="00C2635D">
        <w:rPr>
          <w:rFonts w:cs="Arial"/>
          <w:lang w:eastAsia="en-GB"/>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20"/>
      </w:r>
      <w:r w:rsidRPr="00C2635D">
        <w:rPr>
          <w:rFonts w:cs="Arial"/>
          <w:lang w:eastAsia="en-GB"/>
        </w:rPr>
        <w:t xml:space="preserve"> (system) throughout the period from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0B0F35B8"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r w:rsidR="00963939">
        <w:rPr>
          <w:rFonts w:cs="Arial"/>
          <w:lang w:val="en-GB" w:eastAsia="en-GB"/>
        </w:rPr>
        <w:t>rgan</w:t>
      </w:r>
      <w:r w:rsidRPr="00C2635D">
        <w:rPr>
          <w:rFonts w:cs="Arial"/>
          <w:lang w:val="en-GB" w:eastAsia="en-GB"/>
        </w:rPr>
        <w:t>tel sectie vermelding van de serviceorganisatie) (statement).</w:t>
      </w:r>
    </w:p>
    <w:p w14:paraId="03028D9B" w14:textId="77777777" w:rsidR="00803B8B" w:rsidRPr="00C2635D" w:rsidRDefault="00803B8B" w:rsidP="001A439A">
      <w:pPr>
        <w:widowControl w:val="0"/>
        <w:shd w:val="clear" w:color="auto" w:fill="FFFFFF"/>
        <w:rPr>
          <w:rFonts w:eastAsia="Calibri" w:cs="Arial"/>
          <w:szCs w:val="18"/>
          <w:lang w:val="en-US" w:bidi="ar-DZ"/>
        </w:rPr>
      </w:pPr>
    </w:p>
    <w:p w14:paraId="13FF2464" w14:textId="618C8CD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963939">
        <w:rPr>
          <w:rFonts w:eastAsia="Calibri" w:cs="Arial"/>
        </w:rPr>
        <w:t>’</w:t>
      </w:r>
      <w:r w:rsidRPr="00C2635D">
        <w:rPr>
          <w:rFonts w:eastAsia="Calibri" w:cs="Arial"/>
        </w:rPr>
        <w:t>or’s toetsingswerkzaamheden en toetsingsresultaten) (description of tests and results).</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(paginanummer) of the description, from time to time … (naam serviceorganisatie)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018F958C"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ceo</w:t>
      </w:r>
      <w:r w:rsidR="00963939">
        <w:rPr>
          <w:rFonts w:eastAsia="Calibri" w:cs="Arial"/>
          <w:lang w:val="en-US"/>
        </w:rPr>
        <w:t>rganization</w:t>
      </w:r>
      <w:r w:rsidRPr="00C2635D">
        <w:rPr>
          <w:rFonts w:eastAsia="Calibri" w:cs="Arial"/>
          <w:lang w:val="en-US"/>
        </w:rPr>
        <w:t xml:space="preserve">)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r w:rsidRPr="00C2635D">
        <w:rPr>
          <w:rFonts w:eastAsia="Calibri" w:cs="Arial"/>
          <w:b/>
          <w:i/>
          <w:lang w:val="en-US"/>
        </w:rPr>
        <w:t>Optioneel</w:t>
      </w:r>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The ViO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5C491F3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963939">
        <w:rPr>
          <w:rFonts w:eastAsia="Calibri" w:cs="Arial"/>
          <w:i/>
          <w:lang w:val="en-US"/>
        </w:rPr>
        <w:pgNum/>
      </w:r>
      <w:r w:rsidR="00963939">
        <w:rPr>
          <w:rFonts w:eastAsia="Calibri" w:cs="Arial"/>
          <w:i/>
          <w:lang w:val="en-US"/>
        </w:rPr>
        <w:t>rganizati</w:t>
      </w:r>
      <w:r w:rsidR="009B520B">
        <w:rPr>
          <w:rFonts w:eastAsia="Calibri" w:cs="Arial"/>
          <w:i/>
          <w:lang w:val="en-US"/>
        </w:rPr>
        <w:t>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31D379E" w14:textId="5D7C35A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ceo</w:t>
      </w:r>
      <w:r w:rsidR="00963939">
        <w:rPr>
          <w:rFonts w:cs="Arial"/>
          <w:lang w:val="en-US" w:eastAsia="en-GB"/>
        </w:rPr>
        <w:t>rganization</w:t>
      </w:r>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3" w:name="_Toc42070843"/>
      <w:bookmarkStart w:id="154" w:name="_Toc53399354"/>
      <w:bookmarkStart w:id="155" w:name="_Toc111791869"/>
      <w:bookmarkStart w:id="156" w:name="_Toc111798526"/>
      <w:bookmarkStart w:id="157" w:name="_Toc111798858"/>
      <w:bookmarkStart w:id="158" w:name="_Toc183503404"/>
      <w:r w:rsidRPr="00C2635D">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53"/>
      <w:bookmarkEnd w:id="154"/>
      <w:bookmarkEnd w:id="155"/>
      <w:bookmarkEnd w:id="156"/>
      <w:bookmarkEnd w:id="157"/>
      <w:bookmarkEnd w:id="158"/>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 xml:space="preserve">(titel sectie ‘Beschrijving van </w:t>
      </w:r>
      <w:r w:rsidRPr="00C2635D">
        <w:rPr>
          <w:rFonts w:cs="Arial"/>
          <w:lang w:eastAsia="en-GB"/>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36"/>
      </w:r>
      <w:r w:rsidRPr="00C2635D">
        <w:rPr>
          <w:rFonts w:cs="Arial"/>
          <w:lang w:eastAsia="en-GB"/>
        </w:rPr>
        <w:t xml:space="preserve"> (system) throughout the period from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1920CAFF"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r w:rsidR="00963939">
        <w:rPr>
          <w:rFonts w:cs="Arial"/>
          <w:lang w:val="en-GB" w:eastAsia="en-GB"/>
        </w:rPr>
        <w:t>rgan</w:t>
      </w:r>
      <w:r w:rsidRPr="00C2635D">
        <w:rPr>
          <w:rFonts w:cs="Arial"/>
          <w:lang w:val="en-GB" w:eastAsia="en-GB"/>
        </w:rPr>
        <w:t>tel sectie vermelding van de serviceorganisatie) (statement).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1A186AB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963939">
        <w:rPr>
          <w:rFonts w:eastAsia="Calibri" w:cs="Arial"/>
        </w:rPr>
        <w:t>’</w:t>
      </w:r>
      <w:r w:rsidRPr="00C2635D">
        <w:rPr>
          <w:rFonts w:eastAsia="Calibri" w:cs="Arial"/>
        </w:rPr>
        <w:t>or’s toetsingswerkzaamheden en toetsingsresultaten) (description of tests and results).</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…(naam serviceorganisatie)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64DC30D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ceo</w:t>
      </w:r>
      <w:r w:rsidR="00963939">
        <w:rPr>
          <w:rFonts w:eastAsia="Calibri" w:cs="Arial"/>
          <w:lang w:val="en-US"/>
        </w:rPr>
        <w:t>rganization</w:t>
      </w:r>
      <w:r w:rsidRPr="00C2635D">
        <w:rPr>
          <w:rFonts w:eastAsia="Calibri" w:cs="Arial"/>
          <w:lang w:val="en-US"/>
        </w:rPr>
        <w:t xml:space="preserve">) </w:t>
      </w:r>
      <w:r w:rsidRPr="00A10B00">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r w:rsidRPr="00C2635D">
        <w:rPr>
          <w:rFonts w:eastAsia="Calibri" w:cs="Arial"/>
          <w:b/>
          <w:i/>
          <w:lang w:val="en-US"/>
        </w:rPr>
        <w:t>Optioneel</w:t>
      </w:r>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The ViO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0232B9">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C58CD85" w14:textId="24A28453"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ceo</w:t>
      </w:r>
      <w:r w:rsidR="00963939">
        <w:rPr>
          <w:rFonts w:cs="Arial"/>
          <w:lang w:val="en-US" w:eastAsia="en-GB"/>
        </w:rPr>
        <w:t>rganization</w:t>
      </w:r>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59" w:name="_Toc42070844"/>
      <w:bookmarkStart w:id="160" w:name="_Toc53399355"/>
      <w:bookmarkStart w:id="161" w:name="_Toc111791870"/>
      <w:bookmarkStart w:id="162" w:name="_Toc111798527"/>
      <w:bookmarkStart w:id="163" w:name="_Toc111798859"/>
      <w:bookmarkStart w:id="164" w:name="_Toc183503405"/>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59"/>
      <w:bookmarkEnd w:id="160"/>
      <w:bookmarkEnd w:id="161"/>
      <w:bookmarkEnd w:id="162"/>
      <w:bookmarkEnd w:id="163"/>
      <w:bookmarkEnd w:id="164"/>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 xml:space="preserve">(titel sectie ‘Beschrijving van </w:t>
      </w:r>
      <w:r w:rsidRPr="00C2635D">
        <w:rPr>
          <w:rFonts w:cs="Arial"/>
          <w:lang w:eastAsia="en-GB"/>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52"/>
      </w:r>
      <w:r w:rsidRPr="00C2635D">
        <w:rPr>
          <w:rFonts w:cs="Arial"/>
          <w:lang w:eastAsia="en-GB"/>
        </w:rPr>
        <w:t xml:space="preserve"> (system) throughout the period from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DA432E6"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r w:rsidR="00963939">
        <w:rPr>
          <w:rFonts w:cs="Arial"/>
          <w:lang w:val="en-GB" w:eastAsia="en-GB"/>
        </w:rPr>
        <w:t>rgan</w:t>
      </w:r>
      <w:r w:rsidRPr="00C2635D">
        <w:rPr>
          <w:rFonts w:cs="Arial"/>
          <w:lang w:val="en-GB" w:eastAsia="en-GB"/>
        </w:rPr>
        <w:t>tel sectie vermelding van de serviceorganisatie) (statement).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0F415BE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963939">
        <w:rPr>
          <w:rFonts w:eastAsia="Calibri" w:cs="Arial"/>
        </w:rPr>
        <w:t>’</w:t>
      </w:r>
      <w:r w:rsidRPr="00C2635D">
        <w:rPr>
          <w:rFonts w:eastAsia="Calibri" w:cs="Arial"/>
        </w:rPr>
        <w:t>or’s toetsingswerkzaamheden en toetsingsresultaten) (description of tests and results).</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(naam serviceorganisatie)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serviceorganisatie)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6D29A34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ceo</w:t>
      </w:r>
      <w:r w:rsidR="00963939">
        <w:rPr>
          <w:rFonts w:eastAsia="Calibri" w:cs="Arial"/>
          <w:lang w:val="en-US"/>
        </w:rPr>
        <w:t>rganization</w:t>
      </w:r>
      <w:r w:rsidRPr="00C2635D">
        <w:rPr>
          <w:rFonts w:eastAsia="Calibri" w:cs="Arial"/>
          <w:lang w:val="en-US"/>
        </w:rPr>
        <w:t xml:space="preserve">) </w:t>
      </w:r>
      <w:r w:rsidRPr="00DD20F1">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ViO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59678E">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6249F723" w14:textId="6392FB8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ceo</w:t>
      </w:r>
      <w:r w:rsidR="00963939">
        <w:rPr>
          <w:rFonts w:cs="Arial"/>
          <w:lang w:val="en-US" w:eastAsia="en-GB"/>
        </w:rPr>
        <w:t>rganization</w:t>
      </w:r>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5" w:name="_Toc42070845"/>
      <w:bookmarkStart w:id="166" w:name="_Toc53399356"/>
      <w:bookmarkStart w:id="167" w:name="_Toc111791871"/>
      <w:bookmarkStart w:id="168" w:name="_Toc111798528"/>
      <w:bookmarkStart w:id="169" w:name="_Toc111798860"/>
      <w:bookmarkStart w:id="170" w:name="_Toc183503406"/>
      <w:r w:rsidRPr="00C2635D">
        <w:t>3.5 Assurance-rapporten in overeenstemming met Standaard 3810N</w:t>
      </w:r>
      <w:bookmarkEnd w:id="165"/>
      <w:bookmarkEnd w:id="166"/>
      <w:bookmarkEnd w:id="167"/>
      <w:bookmarkEnd w:id="168"/>
      <w:bookmarkEnd w:id="169"/>
      <w:bookmarkEnd w:id="170"/>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1" w:name="_Toc42070846"/>
      <w:bookmarkStart w:id="172" w:name="_Toc53399357"/>
      <w:bookmarkStart w:id="173" w:name="_Toc111791872"/>
      <w:bookmarkStart w:id="174" w:name="_Toc111798529"/>
      <w:bookmarkStart w:id="175" w:name="_Toc111798861"/>
      <w:bookmarkStart w:id="176" w:name="_Toc183503407"/>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1"/>
      <w:bookmarkEnd w:id="172"/>
      <w:bookmarkEnd w:id="173"/>
      <w:bookmarkEnd w:id="174"/>
      <w:bookmarkEnd w:id="175"/>
      <w:bookmarkEnd w:id="176"/>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r w:rsidR="00B41157" w:rsidRPr="00B41157">
        <w:rPr>
          <w:rFonts w:cs="Arial"/>
          <w:lang w:eastAsia="en-US"/>
        </w:rPr>
        <w:t>assurance-opdracht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assurance-opdracht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NB4: Dit assurance-rapport is niet opgesteld voor assurance-opdrachten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 xml:space="preserve">(boekjaar) </w:t>
      </w:r>
      <w:r w:rsidRPr="00C2635D">
        <w:rPr>
          <w:rFonts w:cs="Arial"/>
          <w:lang w:val="en-US" w:eastAsia="en-US"/>
        </w:rPr>
        <w:t xml:space="preserve">of … </w:t>
      </w:r>
      <w:r w:rsidRPr="00C2635D">
        <w:rPr>
          <w:rFonts w:cs="Arial"/>
          <w:lang w:val="en-GB" w:eastAsia="en-US"/>
        </w:rPr>
        <w:t>(naam entiteit)</w:t>
      </w:r>
      <w:r w:rsidR="003B34F9">
        <w:rPr>
          <w:rFonts w:cs="Arial"/>
          <w:lang w:val="en-GB" w:eastAsia="en-US"/>
        </w:rPr>
        <w:t xml:space="preserve"> based in </w:t>
      </w:r>
      <w:r w:rsidRPr="00C2635D">
        <w:rPr>
          <w:rFonts w:cs="Arial"/>
          <w:lang w:val="en-GB" w:eastAsia="en-US"/>
        </w:rPr>
        <w:t>… ((statutaire) vestigingsplaats).</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(boekjaar)</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(hoofdstukken en of pagina’s benoemen</w:t>
      </w:r>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 xml:space="preserve">Assurance-opdrachten inzake </w:t>
      </w:r>
      <w:r w:rsidR="00CC27F5" w:rsidRPr="0095250B">
        <w:rPr>
          <w:rFonts w:cs="Arial"/>
          <w:i/>
          <w:iCs/>
          <w:lang w:val="en-US" w:eastAsia="en-US"/>
        </w:rPr>
        <w:t>duurzaamheidsverslaggeving</w:t>
      </w:r>
      <w:r w:rsidRPr="00C2635D">
        <w:rPr>
          <w:rFonts w:cs="Arial"/>
          <w:lang w:val="en-US" w:eastAsia="en-US"/>
        </w:rPr>
        <w:t>’ (Assurance engagements relating to sustainability reports) [</w:t>
      </w:r>
      <w:r w:rsidRPr="00C2635D">
        <w:rPr>
          <w:rFonts w:cs="Arial"/>
          <w:b/>
          <w:i/>
          <w:lang w:val="en-US" w:eastAsia="en-US"/>
        </w:rPr>
        <w:t xml:space="preserve">optioneel: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 xml:space="preserve">This engagement is aimed to obtain reasonable assurance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entiteit(en)) in accordance with the ‘Verordening inzake de onafhankelijkheid van accountants bij assurance-opdrachten’ (ViO,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r w:rsidRPr="00C2635D">
        <w:rPr>
          <w:rFonts w:cs="Arial"/>
          <w:b/>
          <w:i/>
          <w:lang w:val="en-US" w:eastAsia="en-US"/>
        </w:rPr>
        <w:t>Optioneel</w:t>
      </w:r>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xml:space="preserve">.] Furthermore we have complied with the ‘Verordening gedrags- en beroepsregels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r w:rsidRPr="00C2635D">
        <w:rPr>
          <w:rFonts w:cs="Arial"/>
          <w:b/>
          <w:i/>
          <w:lang w:val="en-US" w:eastAsia="en-US"/>
        </w:rPr>
        <w:t>Optioneel: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(naam entiteit(en))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r w:rsidRPr="00C2635D">
        <w:rPr>
          <w:rFonts w:cs="Arial"/>
          <w:b/>
          <w:bCs/>
          <w:i/>
          <w:lang w:val="en-GB" w:eastAsia="en-US"/>
        </w:rPr>
        <w:t xml:space="preserve">Optioneel: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r w:rsidRPr="00C2635D">
        <w:rPr>
          <w:rFonts w:cs="Arial"/>
          <w:b/>
          <w:i/>
          <w:lang w:val="en-GB" w:eastAsia="en-US"/>
        </w:rPr>
        <w:t>Optioneel: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[omstandigheden benoemen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r w:rsidRPr="00C2635D">
        <w:rPr>
          <w:rFonts w:eastAsia="Calibri" w:cs="Arial"/>
          <w:b/>
          <w:i/>
          <w:lang w:val="en-US"/>
        </w:rPr>
        <w:t xml:space="preserve">Optioneel: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(optioneel: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(optioneel: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r w:rsidRPr="00C2635D">
        <w:rPr>
          <w:rFonts w:eastAsia="Calibri" w:cs="Arial"/>
          <w:b/>
          <w:i/>
          <w:lang w:val="en-US" w:eastAsia="en-US"/>
        </w:rPr>
        <w:t>optioneel</w:t>
      </w:r>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r w:rsidRPr="0095250B">
        <w:rPr>
          <w:rFonts w:eastAsia="Calibri" w:cs="Arial"/>
          <w:b/>
          <w:bCs/>
          <w:i/>
          <w:lang w:val="en-US" w:eastAsia="en-US"/>
        </w:rPr>
        <w:t>Indien van toepassing</w:t>
      </w:r>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m entit</w:t>
      </w:r>
      <w:r w:rsidR="004D2F1C">
        <w:rPr>
          <w:rFonts w:eastAsia="Calibri" w:cs="Arial"/>
          <w:i/>
          <w:lang w:val="en-US" w:eastAsia="en-US"/>
        </w:rPr>
        <w:t>eit)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summarised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(naam entiteit)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7777777"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and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77777777"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have detected all material errors and fraud</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r w:rsidRPr="00C2635D">
        <w:rPr>
          <w:rFonts w:eastAsia="Calibri" w:cs="Arial"/>
          <w:b/>
          <w:i/>
          <w:lang w:val="en-US" w:eastAsia="en-US"/>
        </w:rPr>
        <w:t>Optioneel</w:t>
      </w:r>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naam entiteit</w:t>
      </w:r>
      <w:r w:rsidR="00EF5384" w:rsidRPr="0095250B">
        <w:rPr>
          <w:rFonts w:eastAsia="Calibri" w:cs="Arial"/>
          <w:i/>
          <w:iCs/>
          <w:lang w:val="en-US" w:eastAsia="en-US"/>
        </w:rPr>
        <w:t>)</w:t>
      </w:r>
      <w:r w:rsidRPr="00C2635D">
        <w:rPr>
          <w:rFonts w:eastAsia="Calibri" w:cs="Arial"/>
          <w:lang w:val="en-US" w:eastAsia="en-US"/>
        </w:rPr>
        <w:t>;]</w:t>
      </w:r>
    </w:p>
    <w:p w14:paraId="7A3DC9F8"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errors.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lastRenderedPageBreak/>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r w:rsidR="00C7085A" w:rsidRPr="0095250B">
        <w:rPr>
          <w:rFonts w:eastAsia="Calibri" w:cs="Arial"/>
          <w:b/>
          <w:bCs/>
          <w:i/>
          <w:iCs/>
          <w:lang w:val="en-US" w:eastAsia="en-US"/>
        </w:rPr>
        <w:t>optioneel</w:t>
      </w:r>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r w:rsidRPr="0095250B">
        <w:rPr>
          <w:rFonts w:eastAsia="Calibri" w:cs="Arial"/>
          <w:b/>
          <w:bCs/>
          <w:i/>
          <w:iCs/>
          <w:lang w:val="en-US" w:eastAsia="en-US"/>
        </w:rPr>
        <w:t>Indien van toepassing</w:t>
      </w:r>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r w:rsidR="00803B8B" w:rsidRPr="00C2635D">
        <w:rPr>
          <w:rFonts w:eastAsia="Calibri" w:cs="Arial"/>
          <w:b/>
          <w:i/>
          <w:lang w:val="en-US" w:eastAsia="en-US"/>
        </w:rPr>
        <w:t>optioneel</w:t>
      </w:r>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r w:rsidR="00AE0C41">
        <w:rPr>
          <w:rFonts w:eastAsia="Calibri" w:cs="Arial"/>
          <w:b/>
          <w:i/>
          <w:lang w:val="en-US" w:eastAsia="en-US"/>
        </w:rPr>
        <w:t>Indien van toepassing</w:t>
      </w:r>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r w:rsidRPr="00C2635D">
        <w:rPr>
          <w:rFonts w:eastAsia="Calibri" w:cs="Arial"/>
          <w:b/>
          <w:i/>
          <w:lang w:val="en-US" w:eastAsia="en-US"/>
        </w:rPr>
        <w:t>Optioneel</w:t>
      </w:r>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7" w:name="_Toc42070847"/>
      <w:bookmarkStart w:id="178" w:name="_Toc53399358"/>
      <w:bookmarkStart w:id="179" w:name="_Toc111791873"/>
      <w:bookmarkStart w:id="180" w:name="_Toc111798530"/>
      <w:bookmarkStart w:id="181" w:name="_Toc111798862"/>
      <w:bookmarkStart w:id="182" w:name="_Toc183503408"/>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7"/>
      <w:bookmarkEnd w:id="178"/>
      <w:bookmarkEnd w:id="179"/>
      <w:bookmarkEnd w:id="180"/>
      <w:bookmarkEnd w:id="181"/>
      <w:bookmarkEnd w:id="182"/>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r w:rsidR="00760724" w:rsidRPr="00760724">
        <w:rPr>
          <w:rFonts w:eastAsia="Calibri" w:cs="Arial"/>
        </w:rPr>
        <w:t>assurance-opdracht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r w:rsidR="00760724" w:rsidRPr="00760724">
        <w:rPr>
          <w:rFonts w:eastAsia="Calibri" w:cs="Arial"/>
        </w:rPr>
        <w:t>assurance-opdracht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NB4: Dit assurance-rapport is niet opgesteld voor assurance-opdrachten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 xml:space="preserve">(boekjaar) </w:t>
      </w:r>
      <w:r w:rsidRPr="00C2635D">
        <w:rPr>
          <w:rFonts w:cs="Arial"/>
          <w:lang w:val="en-US" w:eastAsia="en-US"/>
        </w:rPr>
        <w:t>of … (naam entiteit)</w:t>
      </w:r>
      <w:r w:rsidR="003B34F9">
        <w:rPr>
          <w:rFonts w:cs="Arial"/>
          <w:lang w:val="en-US" w:eastAsia="en-US"/>
        </w:rPr>
        <w:t xml:space="preserve"> based in </w:t>
      </w:r>
      <w:r w:rsidRPr="00C2635D">
        <w:rPr>
          <w:rFonts w:cs="Arial"/>
          <w:lang w:val="en-US" w:eastAsia="en-US"/>
        </w:rPr>
        <w:t>… ((statutaire) vestigingsplaats).</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(boekjaar)</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(hoofdstukken en of pagina’s benoemen</w:t>
      </w:r>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 xml:space="preserve">3810N ‘Assurance-opdrachten inzake </w:t>
      </w:r>
      <w:r w:rsidR="007A224F" w:rsidRPr="007A224F">
        <w:rPr>
          <w:rFonts w:cs="Arial"/>
          <w:lang w:val="en-GB" w:eastAsia="en-US"/>
        </w:rPr>
        <w:t>duurzaamheidsverslaggeving</w:t>
      </w:r>
      <w:r w:rsidRPr="00C2635D">
        <w:rPr>
          <w:rFonts w:cs="Arial"/>
          <w:lang w:val="en-GB" w:eastAsia="en-US"/>
        </w:rPr>
        <w:t>’ (</w:t>
      </w:r>
      <w:r w:rsidRPr="00C2635D">
        <w:rPr>
          <w:rFonts w:cs="Arial"/>
          <w:lang w:val="en-US" w:eastAsia="en-US"/>
        </w:rPr>
        <w:t>Assurance engagements relating to sustainability reports) [</w:t>
      </w:r>
      <w:r w:rsidRPr="00C2635D">
        <w:rPr>
          <w:rFonts w:cs="Arial"/>
          <w:b/>
          <w:i/>
          <w:lang w:val="en-US" w:eastAsia="en-US"/>
        </w:rPr>
        <w:t xml:space="preserve">optioneel: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are independent of … (naam entiteit(en)) in accordance with the ‘Verordening inzake de onafhankelijkheid van accountants bij assurance-opdrachten’ (ViO, Code of Ethics for Professional Accountants, a regulation with respect to independence) and other relevant independence regulations in The Netherlands. [</w:t>
      </w:r>
      <w:r w:rsidRPr="00C2635D">
        <w:rPr>
          <w:rFonts w:cs="Arial"/>
          <w:b/>
          <w:i/>
          <w:lang w:val="en-US" w:eastAsia="en-US"/>
        </w:rPr>
        <w:t>Optioneel</w:t>
      </w:r>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‘Verordening gedrags- en beroepsregels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Optioneel: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(naam entiteit(en))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Optioneel: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[omstandighed</w:t>
      </w:r>
      <w:r w:rsidRPr="00C2635D">
        <w:rPr>
          <w:rFonts w:cs="Arial"/>
          <w:i/>
          <w:lang w:val="en-GB" w:eastAsia="en-US"/>
        </w:rPr>
        <w:t xml:space="preserve">en benoemen…].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 xml:space="preserve">Optioneel: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[optioneel: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r w:rsidRPr="0095250B">
        <w:rPr>
          <w:rFonts w:cs="Arial"/>
          <w:b/>
          <w:bCs/>
          <w:i/>
          <w:lang w:val="en-US" w:eastAsia="en-US"/>
        </w:rPr>
        <w:t>Indien van toepassing</w:t>
      </w:r>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summarised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(naam entiteit)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and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r w:rsidR="00AA6F9F" w:rsidRPr="0095250B">
        <w:rPr>
          <w:rFonts w:cs="Arial"/>
          <w:b/>
          <w:bCs/>
          <w:i/>
          <w:iCs/>
          <w:lang w:val="en-US" w:eastAsia="en-US"/>
        </w:rPr>
        <w:t>indien van toepassing</w:t>
      </w:r>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xml:space="preserve">: Obtaining an understanding of the procedures performed by the internal audit </w:t>
      </w:r>
      <w:r w:rsidRPr="00C2635D">
        <w:rPr>
          <w:rFonts w:cs="Arial"/>
          <w:i/>
          <w:lang w:val="en-US" w:eastAsia="en-US"/>
        </w:rPr>
        <w:lastRenderedPageBreak/>
        <w:t xml:space="preserve">department and the external subject matter expert of </w:t>
      </w:r>
      <w:r w:rsidR="00B74D8B">
        <w:rPr>
          <w:rFonts w:cs="Arial"/>
          <w:i/>
          <w:lang w:val="en-US" w:eastAsia="en-US"/>
        </w:rPr>
        <w:t>… (</w:t>
      </w:r>
      <w:r w:rsidRPr="00C2635D">
        <w:rPr>
          <w:rFonts w:cs="Arial"/>
          <w:i/>
          <w:lang w:val="en-US" w:eastAsia="en-US"/>
        </w:rPr>
        <w:t>naam entiteit</w:t>
      </w:r>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r w:rsidR="00881B4D" w:rsidRPr="0095250B">
        <w:rPr>
          <w:rFonts w:cs="Arial"/>
          <w:b/>
          <w:bCs/>
          <w:i/>
          <w:iCs/>
          <w:lang w:val="en-US" w:eastAsia="en-US"/>
        </w:rPr>
        <w:t>optioneel</w:t>
      </w:r>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r w:rsidRPr="0095250B">
        <w:rPr>
          <w:rFonts w:cs="Arial"/>
          <w:b/>
          <w:bCs/>
          <w:i/>
          <w:iCs/>
          <w:lang w:val="en-US" w:eastAsia="en-US"/>
        </w:rPr>
        <w:t>Indien van toepassing</w:t>
      </w:r>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r w:rsidR="00883486">
        <w:rPr>
          <w:rFonts w:cs="Arial"/>
          <w:b/>
          <w:i/>
          <w:lang w:val="en-US" w:eastAsia="en-US"/>
        </w:rPr>
        <w:t>Indien van toepassing</w:t>
      </w:r>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183" w:name="_Toc42070848"/>
      <w:bookmarkStart w:id="184" w:name="_Toc53399359"/>
      <w:bookmarkStart w:id="185" w:name="_Toc111791874"/>
      <w:bookmarkStart w:id="186" w:name="_Toc111798531"/>
      <w:bookmarkStart w:id="187" w:name="_Toc111798863"/>
      <w:bookmarkStart w:id="188" w:name="_Toc183503409"/>
      <w:r w:rsidRPr="00C2635D">
        <w:rPr>
          <w:rFonts w:eastAsia="Calibri"/>
        </w:rPr>
        <w:t xml:space="preserve">4 Rapport </w:t>
      </w:r>
      <w:bookmarkEnd w:id="183"/>
      <w:bookmarkEnd w:id="184"/>
      <w:bookmarkEnd w:id="185"/>
      <w:bookmarkEnd w:id="186"/>
      <w:bookmarkEnd w:id="187"/>
      <w:r w:rsidR="001D4DD8" w:rsidRPr="001D4DD8">
        <w:rPr>
          <w:rFonts w:eastAsia="Calibri"/>
        </w:rPr>
        <w:t>inzake overeengekomen specifieke werkzaamheden</w:t>
      </w:r>
      <w:bookmarkEnd w:id="188"/>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89" w:name="_Hlk151385451"/>
    </w:p>
    <w:p w14:paraId="24BF3B19" w14:textId="77777777" w:rsidR="00734B3C" w:rsidRPr="00C2635D" w:rsidRDefault="00734B3C" w:rsidP="00734B3C">
      <w:pPr>
        <w:pStyle w:val="Kop2"/>
        <w:rPr>
          <w:lang w:eastAsia="en-US"/>
        </w:rPr>
      </w:pPr>
      <w:bookmarkStart w:id="190" w:name="_Toc183503410"/>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0"/>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r>
        <w:t xml:space="preserve">To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w:t>
      </w:r>
      <w:r w:rsidR="009E08BD">
        <w:t>and</w:t>
      </w:r>
      <w:r w:rsidRPr="00C962D3">
        <w:t xml:space="preserve"> ... </w:t>
      </w:r>
      <w:r w:rsidRPr="007226C8">
        <w:rPr>
          <w:lang w:val="en-US"/>
        </w:rPr>
        <w:t>(omschrijving specifieke verspreidingskring)]</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…(doel omschrijven</w:t>
      </w:r>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This report is intended solely for [opdrachtgever] and …. </w:t>
      </w:r>
      <w:r w:rsidRPr="002E6988">
        <w:rPr>
          <w:lang w:val="en-US"/>
        </w:rPr>
        <w:t xml:space="preserve">(omschrijving specifieke verspreidingskring)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This report is intended solely for [opdrachtgever] and should not be distributed to or used by others.]</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r>
        <w:rPr>
          <w:i/>
          <w:iCs/>
          <w:lang w:val="en-US"/>
        </w:rPr>
        <w:t>Indien van toepassing</w:t>
      </w:r>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[findings]</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r>
        <w:rPr>
          <w:b/>
          <w:bCs/>
        </w:rPr>
        <w:t xml:space="preserve">Responsibilities of [Opdrachtgever] </w:t>
      </w:r>
      <w:r>
        <w:t>[</w:t>
      </w:r>
      <w:r>
        <w:rPr>
          <w:i/>
          <w:iCs/>
        </w:rPr>
        <w:t>indien van toepassing</w:t>
      </w:r>
      <w:r>
        <w:t xml:space="preserve">: </w:t>
      </w:r>
      <w:r>
        <w:rPr>
          <w:b/>
          <w:bCs/>
        </w:rPr>
        <w:t>and the intended user(s)</w:t>
      </w:r>
      <w:r w:rsidRPr="00122D13">
        <w:rPr>
          <w:b/>
          <w:bCs/>
        </w:rPr>
        <w:t>]</w:t>
      </w:r>
      <w:r>
        <w:t xml:space="preserve"> [</w:t>
      </w:r>
      <w:r>
        <w:rPr>
          <w:i/>
          <w:iCs/>
        </w:rPr>
        <w:t>indien een andere partij dan de opdrachtgever verantwoordelijk is voor het (de) onderzoeksobject(en)</w:t>
      </w:r>
      <w:r>
        <w:t>:</w:t>
      </w:r>
      <w:r>
        <w:rPr>
          <w:b/>
          <w:bCs/>
        </w:rPr>
        <w:t xml:space="preserve"> and [Verantwoordelijke partij]</w:t>
      </w:r>
    </w:p>
    <w:p w14:paraId="78D44900" w14:textId="77777777" w:rsidR="000F5455" w:rsidRDefault="000F5455" w:rsidP="000F5455">
      <w:pPr>
        <w:rPr>
          <w:lang w:val="en-US"/>
        </w:rPr>
      </w:pPr>
      <w:r>
        <w:rPr>
          <w:lang w:val="en-US"/>
        </w:rPr>
        <w:t xml:space="preserve">([Opdrachtgever] has / </w:t>
      </w:r>
      <w:r w:rsidRPr="00D97D8A">
        <w:rPr>
          <w:i/>
          <w:lang w:val="en-US"/>
        </w:rPr>
        <w:t>indien van toepassing</w:t>
      </w:r>
      <w:r>
        <w:rPr>
          <w:lang w:val="en-US"/>
        </w:rPr>
        <w:t>: [Opdrachtgever]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responsible for the … </w:t>
      </w:r>
      <w:r w:rsidRPr="00122D13">
        <w:rPr>
          <w:lang w:val="en-US"/>
        </w:rPr>
        <w:t>(onderzoeksobject(en))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responsible for … </w:t>
      </w:r>
      <w:r>
        <w:rPr>
          <w:lang w:val="en-US"/>
        </w:rPr>
        <w:t>(onderzoeksobject(en))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[Opdrachtgever]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[Opdrachtgever]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[opdrachtgever] [Indien van toepassing: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r w:rsidRPr="00FB38AA">
        <w:rPr>
          <w:i/>
          <w:iCs/>
          <w:lang w:val="en-US"/>
        </w:rPr>
        <w:t>Opdrachten tot het verrichten van overeengekomen specifieke werkzaamheden’</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We have complied with the relevant ethical requirements in the Verordening gedrags- en beroepsregels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r w:rsidRPr="0083677F">
        <w:rPr>
          <w:i/>
          <w:iCs/>
          <w:lang w:val="en-US"/>
        </w:rPr>
        <w:t>Optie 1, indien van toepassing</w:t>
      </w:r>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r w:rsidRPr="0083677F">
        <w:rPr>
          <w:i/>
          <w:iCs/>
          <w:lang w:val="en-US"/>
        </w:rPr>
        <w:t>Optie 2, indien van toepassing</w:t>
      </w:r>
      <w:r w:rsidRPr="0083677F">
        <w:rPr>
          <w:lang w:val="en-US"/>
        </w:rPr>
        <w:t xml:space="preserve">: </w:t>
      </w:r>
      <w:r>
        <w:rPr>
          <w:lang w:val="en-US"/>
        </w:rPr>
        <w:t>We have complied with the independence requirements of the Verordening inzake de onafhankelijkheid van accountants bij assurance-opdrachten (ViO,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[opdrachtgever] [</w:t>
      </w:r>
      <w:r>
        <w:rPr>
          <w:i/>
          <w:iCs/>
          <w:lang w:val="en-US"/>
        </w:rPr>
        <w:t>indien van toepassing</w:t>
      </w:r>
      <w:r>
        <w:rPr>
          <w:lang w:val="en-US"/>
        </w:rPr>
        <w:t xml:space="preserve">: and the intended user(s)] in the terms of engagement dated … </w:t>
      </w:r>
      <w:r w:rsidRPr="002B028A">
        <w:rPr>
          <w:lang w:val="en-US"/>
        </w:rPr>
        <w:t>(datum), on .. (onderzoeksobject(en)).</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r w:rsidRPr="00C37944">
              <w:t>Findings</w:t>
            </w:r>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lastRenderedPageBreak/>
        <w:t>… (h</w:t>
      </w:r>
      <w:r w:rsidRPr="00865EB4">
        <w:rPr>
          <w:rFonts w:cs="Arial"/>
          <w:lang w:eastAsia="en-US"/>
        </w:rPr>
        <w:t>andtekening en naam accountant</w:t>
      </w:r>
      <w:r>
        <w:rPr>
          <w:rFonts w:cs="Arial"/>
          <w:lang w:eastAsia="en-US"/>
        </w:rPr>
        <w:t>)</w:t>
      </w:r>
    </w:p>
    <w:bookmarkEnd w:id="189"/>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1" w:name="_Toc42070849"/>
      <w:bookmarkStart w:id="192" w:name="_Toc53399360"/>
      <w:bookmarkStart w:id="193" w:name="_Toc111791875"/>
      <w:bookmarkStart w:id="194" w:name="_Toc111798532"/>
      <w:bookmarkStart w:id="195" w:name="_Toc111798864"/>
      <w:bookmarkStart w:id="196" w:name="_Toc183503411"/>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1"/>
      <w:bookmarkEnd w:id="192"/>
      <w:bookmarkEnd w:id="193"/>
      <w:bookmarkEnd w:id="194"/>
      <w:bookmarkEnd w:id="195"/>
      <w:bookmarkEnd w:id="196"/>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7" w:name="_Toc53399361"/>
      <w:bookmarkStart w:id="198" w:name="_Toc111791876"/>
      <w:bookmarkStart w:id="199" w:name="_Toc111798533"/>
      <w:bookmarkStart w:id="200" w:name="_Toc111798865"/>
      <w:bookmarkStart w:id="201" w:name="_Toc183503412"/>
      <w:r w:rsidRPr="00C2635D">
        <w:t>10 Controleverklaringen ten behoeve van de (semi)publieke sector</w:t>
      </w:r>
      <w:bookmarkEnd w:id="197"/>
      <w:bookmarkEnd w:id="198"/>
      <w:bookmarkEnd w:id="199"/>
      <w:bookmarkEnd w:id="200"/>
      <w:bookmarkEnd w:id="201"/>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2" w:name="_Toc522018289"/>
      <w:bookmarkStart w:id="203" w:name="_Toc53399362"/>
      <w:bookmarkStart w:id="204" w:name="_Toc111791877"/>
      <w:bookmarkStart w:id="205" w:name="_Toc111798534"/>
      <w:bookmarkStart w:id="206" w:name="_Toc111798866"/>
      <w:bookmarkStart w:id="207" w:name="_Toc183503413"/>
      <w:r w:rsidRPr="00C2635D">
        <w:t>10.3 Goedkeurende controleverklaring bij een subsidiedeclaratie in de publieke en semipublieke sector</w:t>
      </w:r>
      <w:bookmarkStart w:id="208" w:name="_Toc477946804"/>
      <w:bookmarkEnd w:id="202"/>
      <w:bookmarkEnd w:id="203"/>
      <w:bookmarkEnd w:id="204"/>
      <w:bookmarkEnd w:id="205"/>
      <w:bookmarkEnd w:id="206"/>
      <w:bookmarkEnd w:id="207"/>
    </w:p>
    <w:p w14:paraId="1502C45A" w14:textId="77777777" w:rsidR="001322B6" w:rsidRPr="00C2635D" w:rsidRDefault="001322B6" w:rsidP="001A439A">
      <w:pPr>
        <w:widowControl w:val="0"/>
        <w:rPr>
          <w:rFonts w:eastAsia="Calibri" w:cs="Arial"/>
          <w:lang w:eastAsia="en-US"/>
        </w:rPr>
      </w:pPr>
    </w:p>
    <w:p w14:paraId="2633643F" w14:textId="77777777" w:rsidR="001322B6" w:rsidRPr="00C2635D" w:rsidRDefault="001322B6" w:rsidP="001A439A">
      <w:pPr>
        <w:widowControl w:val="0"/>
        <w:rPr>
          <w:rFonts w:eastAsia="Calibri" w:cs="Arial"/>
          <w:lang w:eastAsia="en-US"/>
        </w:rPr>
      </w:pPr>
      <w:r w:rsidRPr="00C2635D">
        <w:rPr>
          <w:rFonts w:eastAsia="Calibri" w:cs="Arial"/>
          <w:lang w:eastAsia="en-US"/>
        </w:rPr>
        <w:t>NB1: Aan deze voorbeeldtekst liggen de onderstaande veronderstellingen ten grondslag.</w:t>
      </w:r>
    </w:p>
    <w:p w14:paraId="1C999D88"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een toezichthoudend orgaan die verantwoordelijkheid heeft voor het toezicht op de totstandkoming van het opdrachtobject.</w:t>
      </w:r>
    </w:p>
    <w:p w14:paraId="4C3D1950"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niet sprake van een groep.</w:t>
      </w:r>
    </w:p>
    <w:p w14:paraId="5F00E0A9"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Het management heeft geen keuze bij de bepaling van het verslaggevingsstelsel.</w:t>
      </w:r>
    </w:p>
    <w:p w14:paraId="3FB7A1FD"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het geldende verslaggevingsstelsel is geen expliciete aandacht voor de continuïteitsveronderstelling.</w:t>
      </w:r>
    </w:p>
    <w:p w14:paraId="02CE44A6"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E2C50B3"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de controleverklaring neemt de accountant geen kernpunten van de controle op.</w:t>
      </w:r>
    </w:p>
    <w:p w14:paraId="4520A5F1" w14:textId="77777777" w:rsidR="001322B6" w:rsidRPr="00C2635D" w:rsidRDefault="001322B6" w:rsidP="001A439A">
      <w:pPr>
        <w:widowControl w:val="0"/>
        <w:rPr>
          <w:rFonts w:eastAsia="Calibri" w:cs="Arial"/>
          <w:lang w:eastAsia="en-US"/>
        </w:rPr>
      </w:pPr>
    </w:p>
    <w:p w14:paraId="108AE0E6" w14:textId="77777777" w:rsidR="001322B6" w:rsidRPr="00C2635D" w:rsidRDefault="001322B6" w:rsidP="001A439A">
      <w:pPr>
        <w:widowControl w:val="0"/>
        <w:rPr>
          <w:rFonts w:eastAsia="Calibri" w:cs="Arial"/>
          <w:lang w:eastAsia="en-US"/>
        </w:rPr>
      </w:pPr>
      <w:r w:rsidRPr="00C2635D">
        <w:rPr>
          <w:rFonts w:eastAsia="Calibri" w:cs="Arial"/>
          <w:lang w:eastAsia="en-US"/>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AE2A2EF" w14:textId="77777777" w:rsidR="001322B6" w:rsidRPr="00C2635D" w:rsidRDefault="001322B6" w:rsidP="001A439A">
      <w:pPr>
        <w:widowControl w:val="0"/>
        <w:rPr>
          <w:rFonts w:eastAsia="Calibri" w:cs="Arial"/>
          <w:lang w:eastAsia="en-US"/>
        </w:rPr>
      </w:pPr>
    </w:p>
    <w:p w14:paraId="23917A53" w14:textId="77777777" w:rsidR="001322B6" w:rsidRPr="00C2635D" w:rsidRDefault="001322B6" w:rsidP="001A439A">
      <w:pPr>
        <w:widowControl w:val="0"/>
        <w:rPr>
          <w:rFonts w:cs="Arial"/>
          <w:lang w:eastAsia="en-US"/>
        </w:rPr>
      </w:pPr>
      <w:r w:rsidRPr="00C2635D">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77777777"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‘andere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77777777" w:rsidR="001322B6" w:rsidRPr="00C2635D" w:rsidRDefault="001322B6" w:rsidP="001A439A">
      <w:pPr>
        <w:widowControl w:val="0"/>
        <w:rPr>
          <w:rFonts w:cs="Arial"/>
        </w:rPr>
      </w:pPr>
      <w:r w:rsidRPr="00C2635D">
        <w:rPr>
          <w:rFonts w:cs="Arial"/>
        </w:rPr>
        <w:t>In dit geval leest de accountant de ‘andere informatie, overweegt op basis van zijn/haar kennis en zijn/haar begrip, verkregen vanuit de controle of anderszins, of de andere informatie materiële afwijkingen bevat en rapporteert daarover in de paragraaf andere informatie van de controleverklaring. De accountant waarmerkt in voorkomende gevallen de ‘andere informatie’ en voegt dit samen met de controleverklaring en de subsidiedeclaratie</w:t>
      </w:r>
    </w:p>
    <w:p w14:paraId="6BF58788" w14:textId="77777777" w:rsidR="001322B6" w:rsidRPr="00C2635D" w:rsidRDefault="001322B6" w:rsidP="001A439A">
      <w:pPr>
        <w:widowControl w:val="0"/>
        <w:rPr>
          <w:rFonts w:cs="Arial"/>
        </w:rPr>
      </w:pPr>
    </w:p>
    <w:p w14:paraId="455D4E0A" w14:textId="77777777" w:rsidR="001322B6" w:rsidRPr="00C2635D" w:rsidRDefault="001322B6" w:rsidP="001A439A">
      <w:pPr>
        <w:widowControl w:val="0"/>
        <w:rPr>
          <w:rFonts w:cs="Arial"/>
        </w:rPr>
      </w:pPr>
      <w:r w:rsidRPr="00C2635D">
        <w:rPr>
          <w:rFonts w:cs="Arial"/>
        </w:rPr>
        <w:t>Naast ‘andere informatie’ wordt veelal ook nog ‘overige informatie’ als zelfstandig document bijgevoegd en heeft deze niet het doel belanghebbenden informatie te verschaffen over aangelegenheden die gepresenteerd worden in de (financiële) subsidiedeclaratie. Deze ‘overige informatie’ omvat bijvoorbeeld het inhoudelijke (onderzoeks)rapport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77777777"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To: Client and/or supervisory board of … (naam entiteit(en))</w:t>
      </w:r>
      <w:r w:rsidRPr="00C2635D">
        <w:rPr>
          <w:rFonts w:eastAsia="Calibri" w:cs="Arial"/>
          <w:vertAlign w:val="superscript"/>
          <w:lang w:eastAsia="en-US"/>
        </w:rPr>
        <w:footnoteReference w:id="229"/>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77777777" w:rsidR="001322B6" w:rsidRPr="00C2635D" w:rsidRDefault="001322B6" w:rsidP="001A439A">
      <w:pPr>
        <w:widowControl w:val="0"/>
        <w:rPr>
          <w:rFonts w:eastAsia="Calibri" w:cs="Arial"/>
          <w:lang w:eastAsia="en-US"/>
        </w:rPr>
      </w:pPr>
      <w:r w:rsidRPr="00C2635D">
        <w:rPr>
          <w:rFonts w:eastAsia="Calibri" w:cs="Arial"/>
          <w:lang w:val="en-US" w:eastAsia="en-US"/>
        </w:rPr>
        <w:lastRenderedPageBreak/>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0"/>
      </w:r>
      <w:r w:rsidR="0024267F" w:rsidRPr="00C2635D">
        <w:rPr>
          <w:rFonts w:eastAsia="Calibri" w:cs="Arial"/>
          <w:lang w:val="en-GB" w:eastAsia="en-US"/>
        </w:rPr>
        <w:t xml:space="preserve"> for </w:t>
      </w:r>
      <w:r w:rsidR="00224C91">
        <w:rPr>
          <w:rFonts w:eastAsia="Calibri" w:cs="Arial"/>
          <w:lang w:val="en-GB" w:eastAsia="en-US"/>
        </w:rPr>
        <w:t>YYYY</w:t>
      </w:r>
      <w:r w:rsidR="007705EE" w:rsidRPr="00C2635D">
        <w:rPr>
          <w:rFonts w:eastAsia="Calibri" w:cs="Arial"/>
          <w:lang w:val="en-US" w:eastAsia="en-US"/>
        </w:rPr>
        <w:t xml:space="preserve"> concerning … </w:t>
      </w:r>
      <w:r w:rsidR="007705EE" w:rsidRPr="00C2635D">
        <w:rPr>
          <w:rFonts w:eastAsia="Calibri" w:cs="Arial"/>
          <w:lang w:eastAsia="en-US"/>
        </w:rPr>
        <w:t>(naam subsidieregeling)</w:t>
      </w:r>
      <w:r w:rsidRPr="00C2635D">
        <w:rPr>
          <w:rFonts w:eastAsia="Calibri" w:cs="Arial"/>
          <w:lang w:eastAsia="en-US"/>
        </w:rPr>
        <w:t xml:space="preserve"> of ... (naam entiteit(en)), based in … ((statutaire) vestigingsplaats).</w:t>
      </w:r>
    </w:p>
    <w:p w14:paraId="52FC00AE" w14:textId="77777777" w:rsidR="001322B6" w:rsidRPr="00C2635D" w:rsidRDefault="001322B6" w:rsidP="001A439A">
      <w:pPr>
        <w:widowControl w:val="0"/>
        <w:shd w:val="clear" w:color="auto" w:fill="FFFFFF"/>
        <w:autoSpaceDE w:val="0"/>
        <w:autoSpaceDN w:val="0"/>
        <w:adjustRightInd w:val="0"/>
        <w:rPr>
          <w:rFonts w:cs="Arial"/>
          <w:bCs/>
        </w:rPr>
      </w:pPr>
    </w:p>
    <w:p w14:paraId="28B2F3CC" w14:textId="77777777"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24267F" w:rsidRPr="00C2635D">
        <w:rPr>
          <w:rFonts w:eastAsia="Calibri" w:cs="Arial"/>
          <w:lang w:val="en-GB" w:eastAsia="en-US"/>
        </w:rPr>
        <w:t xml:space="preserve">for </w:t>
      </w:r>
      <w:r w:rsidR="00224C91">
        <w:rPr>
          <w:rFonts w:eastAsia="Calibri" w:cs="Arial"/>
          <w:lang w:val="en-GB" w:eastAsia="en-US"/>
        </w:rPr>
        <w:t>YYYY</w:t>
      </w:r>
      <w:r w:rsidRPr="00C2635D">
        <w:rPr>
          <w:rFonts w:eastAsia="Calibri" w:cs="Arial"/>
          <w:lang w:val="en-US" w:eastAsia="en-US"/>
        </w:rPr>
        <w:t xml:space="preserve"> </w:t>
      </w:r>
      <w:r w:rsidR="007705EE" w:rsidRPr="00C2635D">
        <w:rPr>
          <w:rFonts w:eastAsia="Calibri" w:cs="Arial"/>
          <w:lang w:val="en-US" w:eastAsia="en-US"/>
        </w:rPr>
        <w:t xml:space="preserve">concerning … (naam subsidieregeling) </w:t>
      </w:r>
      <w:r w:rsidRPr="00C2635D">
        <w:rPr>
          <w:rFonts w:eastAsia="Calibri" w:cs="Arial"/>
          <w:lang w:val="en-US" w:eastAsia="en-US"/>
        </w:rPr>
        <w:t>of ... (naam entiteit(en))</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1"/>
      </w:r>
      <w:r w:rsidRPr="00C2635D">
        <w:rPr>
          <w:rFonts w:cs="Arial"/>
          <w:vertAlign w:val="superscript"/>
          <w:lang w:val="en-US"/>
        </w:rPr>
        <w:t>,</w:t>
      </w:r>
      <w:r w:rsidRPr="00C2635D">
        <w:rPr>
          <w:rFonts w:eastAsia="Calibri" w:cs="Arial"/>
          <w:vertAlign w:val="superscript"/>
          <w:lang w:eastAsia="en-US"/>
        </w:rPr>
        <w:footnoteReference w:id="232"/>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45C77F3E"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w:t>
      </w:r>
      <w:r w:rsidRPr="00C2635D">
        <w:rPr>
          <w:rFonts w:eastAsia="Calibri" w:cs="Arial"/>
          <w:b/>
          <w:i/>
          <w:lang w:val="en-US" w:eastAsia="en-US"/>
        </w:rPr>
        <w:t>Optioneel</w:t>
      </w:r>
      <w:r w:rsidRPr="00C2635D">
        <w:rPr>
          <w:rFonts w:eastAsia="Calibri" w:cs="Arial"/>
          <w:lang w:val="en-US" w:eastAsia="en-US"/>
        </w:rPr>
        <w:t xml:space="preserve">: The </w:t>
      </w:r>
      <w:r w:rsidR="0024267F" w:rsidRPr="00C2635D">
        <w:rPr>
          <w:rFonts w:eastAsia="Calibri" w:cs="Arial"/>
          <w:lang w:val="en-US" w:eastAsia="en-US"/>
        </w:rPr>
        <w:t xml:space="preserve">grant statement </w:t>
      </w:r>
      <w:r w:rsidRPr="00C2635D">
        <w:rPr>
          <w:rFonts w:eastAsia="Calibri" w:cs="Arial"/>
          <w:lang w:val="en-US" w:eastAsia="en-US"/>
        </w:rPr>
        <w:t>comprise</w:t>
      </w:r>
      <w:r w:rsidR="0024267F" w:rsidRPr="00C2635D">
        <w:rPr>
          <w:rFonts w:eastAsia="Calibri" w:cs="Arial"/>
          <w:lang w:val="en-US" w:eastAsia="en-US"/>
        </w:rPr>
        <w:t>s</w:t>
      </w:r>
      <w:r w:rsidRPr="00C2635D">
        <w:rPr>
          <w:rFonts w:eastAsia="Calibri" w:cs="Arial"/>
          <w:lang w:val="en-US" w:eastAsia="en-US"/>
        </w:rPr>
        <w:t>:</w:t>
      </w:r>
    </w:p>
    <w:p w14:paraId="1169372E"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0C76A865"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3F26E583" w14:textId="77777777" w:rsidR="001322B6" w:rsidRPr="00C2635D" w:rsidRDefault="001322B6" w:rsidP="001A439A">
      <w:pPr>
        <w:widowControl w:val="0"/>
        <w:rPr>
          <w:rFonts w:eastAsia="Calibri" w:cs="Arial"/>
          <w:lang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 …</w:t>
      </w:r>
      <w:r w:rsidRPr="00C2635D">
        <w:rPr>
          <w:rFonts w:eastAsia="Calibri" w:cs="Arial"/>
          <w:vertAlign w:val="superscript"/>
          <w:lang w:eastAsia="en-US"/>
        </w:rPr>
        <w:footnoteReference w:id="233"/>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are independent of ... (naam entiteit(en))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3B58365" w14:textId="77777777" w:rsidR="001322B6" w:rsidRPr="00C2635D" w:rsidRDefault="001322B6" w:rsidP="001A439A">
      <w:pPr>
        <w:widowControl w:val="0"/>
        <w:rPr>
          <w:rFonts w:eastAsia="Calibri" w:cs="Arial"/>
          <w:lang w:val="en-US" w:eastAsia="en-US"/>
        </w:rPr>
      </w:pPr>
      <w:r w:rsidRPr="00C2635D">
        <w:rPr>
          <w:rFonts w:cs="Arial"/>
          <w:b/>
          <w:lang w:val="en-US"/>
        </w:rPr>
        <w:t>[</w:t>
      </w:r>
      <w:r w:rsidRPr="00C2635D">
        <w:rPr>
          <w:rFonts w:cs="Arial"/>
          <w:b/>
          <w:i/>
          <w:lang w:val="en-US"/>
        </w:rPr>
        <w:t>Optioneel</w:t>
      </w:r>
      <w:r w:rsidRPr="00C2635D">
        <w:rPr>
          <w:rFonts w:cs="Arial"/>
          <w:b/>
          <w:lang w:val="en-US"/>
        </w:rPr>
        <w:t xml:space="preserve">: </w:t>
      </w:r>
      <w:r w:rsidRPr="00C2635D">
        <w:rPr>
          <w:rFonts w:eastAsia="Calibri" w:cs="Arial"/>
          <w:b/>
          <w:lang w:val="en-US" w:eastAsia="en-US"/>
        </w:rPr>
        <w:t>Other information</w:t>
      </w:r>
      <w:r w:rsidRPr="00C2635D">
        <w:rPr>
          <w:rFonts w:eastAsia="Calibri" w:cs="Arial"/>
          <w:b/>
          <w:vertAlign w:val="superscript"/>
          <w:lang w:val="en-US" w:eastAsia="en-US"/>
        </w:rPr>
        <w:footnoteReference w:id="234"/>
      </w:r>
    </w:p>
    <w:p w14:paraId="257E9C60" w14:textId="77777777" w:rsidR="001322B6" w:rsidRPr="0031292E" w:rsidRDefault="00C71599" w:rsidP="004B7AB9">
      <w:pPr>
        <w:widowControl w:val="0"/>
        <w:rPr>
          <w:rFonts w:eastAsia="Calibri" w:cs="Arial"/>
          <w:lang w:val="en-US" w:eastAsia="en-US"/>
        </w:rPr>
      </w:pPr>
      <w:r w:rsidRPr="00C2635D">
        <w:rPr>
          <w:rFonts w:eastAsia="Calibri" w:cs="Arial"/>
          <w:lang w:val="en-US" w:eastAsia="en-US"/>
        </w:rPr>
        <w:t>O</w:t>
      </w:r>
      <w:r w:rsidR="001322B6" w:rsidRPr="00C2635D">
        <w:rPr>
          <w:rFonts w:eastAsia="Calibri" w:cs="Arial"/>
          <w:lang w:val="en-US" w:eastAsia="en-US"/>
        </w:rPr>
        <w:t xml:space="preserve">ther information </w:t>
      </w:r>
      <w:r w:rsidR="005D1DDF" w:rsidRPr="00C2635D">
        <w:rPr>
          <w:rFonts w:eastAsia="Calibri" w:cs="Arial"/>
          <w:lang w:val="en-US" w:eastAsia="en-US"/>
        </w:rPr>
        <w:t>has been</w:t>
      </w:r>
      <w:r w:rsidR="001322B6" w:rsidRPr="00C2635D">
        <w:rPr>
          <w:rFonts w:eastAsia="Calibri" w:cs="Arial"/>
          <w:lang w:val="en-US" w:eastAsia="en-US"/>
        </w:rPr>
        <w:t xml:space="preserve"> added </w:t>
      </w:r>
      <w:r w:rsidRPr="00C2635D">
        <w:rPr>
          <w:rFonts w:eastAsia="Calibri" w:cs="Arial"/>
          <w:lang w:val="en-US" w:eastAsia="en-US"/>
        </w:rPr>
        <w:t>to the grant statement and</w:t>
      </w:r>
      <w:r w:rsidR="001322B6" w:rsidRPr="00C2635D">
        <w:rPr>
          <w:rFonts w:eastAsia="Calibri" w:cs="Arial"/>
          <w:lang w:val="en-US" w:eastAsia="en-US"/>
        </w:rPr>
        <w:t xml:space="preserve"> </w:t>
      </w:r>
      <w:r w:rsidR="00513248" w:rsidRPr="00513248">
        <w:rPr>
          <w:rFonts w:eastAsia="Calibri" w:cs="Arial"/>
          <w:lang w:val="en-US" w:eastAsia="en-US"/>
        </w:rPr>
        <w:t>our auditor's report thereon</w:t>
      </w:r>
      <w:r w:rsidR="00513248">
        <w:rPr>
          <w:rFonts w:eastAsia="Calibri" w:cs="Arial"/>
          <w:lang w:val="en-US" w:eastAsia="en-US"/>
        </w:rPr>
        <w:t>.</w:t>
      </w:r>
      <w:r w:rsidR="00513248">
        <w:rPr>
          <w:rStyle w:val="Voetnootmarkering"/>
          <w:rFonts w:eastAsia="Calibri" w:cs="Arial"/>
          <w:lang w:val="en-US" w:eastAsia="en-US"/>
        </w:rPr>
        <w:footnoteReference w:id="235"/>
      </w:r>
      <w:r w:rsidR="00513248" w:rsidRPr="00513248">
        <w:rPr>
          <w:rFonts w:eastAsia="Calibri" w:cs="Arial"/>
          <w:lang w:val="en-US" w:eastAsia="en-US"/>
        </w:rPr>
        <w:t xml:space="preserve"> </w:t>
      </w:r>
    </w:p>
    <w:p w14:paraId="0541CAD2" w14:textId="77777777" w:rsidR="001322B6" w:rsidRPr="0031292E" w:rsidRDefault="001322B6" w:rsidP="001A439A">
      <w:pPr>
        <w:widowControl w:val="0"/>
        <w:rPr>
          <w:rFonts w:eastAsia="Calibri" w:cs="Arial"/>
          <w:lang w:val="en-US" w:eastAsia="en-US"/>
        </w:rPr>
      </w:pPr>
    </w:p>
    <w:p w14:paraId="480E99C1"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Based on the following procedures performed, we conclude that the other information is consistent with the grant statement and does not contain material misstatements.</w:t>
      </w:r>
    </w:p>
    <w:p w14:paraId="732D552E" w14:textId="77777777" w:rsidR="001322B6" w:rsidRPr="00C2635D" w:rsidRDefault="001322B6" w:rsidP="001A439A">
      <w:pPr>
        <w:widowControl w:val="0"/>
        <w:rPr>
          <w:rFonts w:eastAsia="Calibri" w:cs="Arial"/>
          <w:lang w:val="en-US" w:eastAsia="en-US"/>
        </w:rPr>
      </w:pPr>
    </w:p>
    <w:p w14:paraId="2D29BE46"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6"/>
      </w:r>
      <w:r w:rsidRPr="00C2635D">
        <w:rPr>
          <w:rFonts w:eastAsia="Calibri" w:cs="Arial"/>
          <w:lang w:val="en-US" w:eastAsia="en-US"/>
        </w:rPr>
        <w:t>. The scope of the procedures performed is substantially less than the scope of those performed in our audit of the grant statement.</w:t>
      </w:r>
    </w:p>
    <w:p w14:paraId="357540F2" w14:textId="77777777" w:rsidR="001322B6" w:rsidRPr="00C2635D" w:rsidRDefault="001322B6" w:rsidP="001A439A">
      <w:pPr>
        <w:widowControl w:val="0"/>
        <w:rPr>
          <w:rFonts w:eastAsia="Calibri" w:cs="Arial"/>
          <w:lang w:val="en-US" w:eastAsia="en-US"/>
        </w:rPr>
      </w:pPr>
    </w:p>
    <w:p w14:paraId="6E49629F"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other information [</w:t>
      </w:r>
      <w:r w:rsidRPr="00C2635D">
        <w:rPr>
          <w:rFonts w:eastAsia="Calibri" w:cs="Arial"/>
          <w:i/>
          <w:lang w:val="en-US" w:eastAsia="en-US"/>
        </w:rPr>
        <w:t>indien van toepassing:</w:t>
      </w:r>
      <w:r w:rsidRPr="00C2635D">
        <w:rPr>
          <w:rFonts w:eastAsia="Calibri" w:cs="Arial"/>
          <w:lang w:val="en-US" w:eastAsia="en-US"/>
        </w:rPr>
        <w:t xml:space="preserve">, </w:t>
      </w:r>
      <w:r w:rsidR="00FC1BAA" w:rsidRPr="00C2635D">
        <w:rPr>
          <w:rFonts w:eastAsia="Calibri" w:cs="Arial"/>
          <w:lang w:val="en-US" w:eastAsia="en-US"/>
        </w:rPr>
        <w:t>including ….</w:t>
      </w:r>
      <w:r w:rsidR="00FC1BAA" w:rsidRPr="00C2635D">
        <w:rPr>
          <w:rFonts w:eastAsia="Calibri" w:cs="Arial"/>
          <w:i/>
          <w:lang w:val="en-US" w:eastAsia="en-US"/>
        </w:rPr>
        <w:t xml:space="preserve"> </w:t>
      </w:r>
      <w:r w:rsidRPr="00C2635D">
        <w:rPr>
          <w:rFonts w:eastAsia="Calibri" w:cs="Arial"/>
          <w:lang w:val="en-US" w:eastAsia="en-US"/>
        </w:rPr>
        <w:t>in accordance</w:t>
      </w:r>
      <w:r w:rsidR="00604CA3" w:rsidRPr="00C2635D">
        <w:rPr>
          <w:rFonts w:eastAsia="Calibri" w:cs="Arial"/>
          <w:lang w:val="en-US" w:eastAsia="en-US"/>
        </w:rPr>
        <w:t xml:space="preserve"> with</w:t>
      </w:r>
      <w:r w:rsidRPr="00C2635D">
        <w:rPr>
          <w:rFonts w:eastAsia="Calibri" w:cs="Arial"/>
          <w:lang w:val="en-US" w:eastAsia="en-US"/>
        </w:rPr>
        <w:t xml:space="preserve"> …</w:t>
      </w:r>
      <w:r w:rsidRPr="00C2635D">
        <w:rPr>
          <w:rFonts w:eastAsia="Calibri" w:cs="Arial"/>
          <w:vertAlign w:val="superscript"/>
          <w:lang w:eastAsia="en-US"/>
        </w:rPr>
        <w:footnoteReference w:id="237"/>
      </w:r>
      <w:r w:rsidRPr="00C2635D">
        <w:rPr>
          <w:rFonts w:eastAsia="Calibri" w:cs="Arial"/>
          <w:lang w:val="en-US" w:eastAsia="en-US"/>
        </w:rPr>
        <w:t>].]</w:t>
      </w:r>
    </w:p>
    <w:p w14:paraId="10595E62" w14:textId="77777777" w:rsidR="001322B6" w:rsidRPr="00C2635D" w:rsidRDefault="001322B6" w:rsidP="001A439A">
      <w:pPr>
        <w:widowControl w:val="0"/>
        <w:rPr>
          <w:rFonts w:eastAsia="Calibri" w:cs="Arial"/>
          <w:b/>
          <w:lang w:val="en-US" w:eastAsia="en-US"/>
        </w:rPr>
      </w:pPr>
    </w:p>
    <w:p w14:paraId="4F868960" w14:textId="77777777" w:rsidR="001322B6" w:rsidRPr="00C2635D" w:rsidRDefault="001322B6" w:rsidP="001A439A">
      <w:pPr>
        <w:widowControl w:val="0"/>
        <w:rPr>
          <w:rFonts w:eastAsia="Calibri" w:cs="Arial"/>
          <w:b/>
          <w:lang w:val="en-US" w:eastAsia="en-US"/>
        </w:rPr>
      </w:pPr>
      <w:r w:rsidRPr="00C2635D">
        <w:rPr>
          <w:rFonts w:eastAsia="Calibri" w:cs="Arial"/>
          <w:b/>
          <w:lang w:val="en-US" w:eastAsia="en-US"/>
        </w:rPr>
        <w:t>Emphasis of the basis for financial reporting and the restriction of use and distribution</w:t>
      </w:r>
    </w:p>
    <w:p w14:paraId="7751156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draw attention to note … to the grant statement, which describes the basis of accounting. The </w:t>
      </w:r>
      <w:r w:rsidRPr="00C2635D">
        <w:rPr>
          <w:rFonts w:eastAsia="Calibri" w:cs="Arial"/>
          <w:lang w:val="en-US" w:eastAsia="en-US"/>
        </w:rPr>
        <w:lastRenderedPageBreak/>
        <w:t xml:space="preserve">grant statement is intended for … (omschrijving specifieke verspreidingskring) and is prepared to assist … </w:t>
      </w:r>
      <w:r w:rsidRPr="00C2635D">
        <w:rPr>
          <w:rFonts w:eastAsia="Calibri" w:cs="Arial"/>
          <w:lang w:eastAsia="en-US"/>
        </w:rPr>
        <w:t xml:space="preserve">(naam entiteit(en)) to comply with … (omschrijving vereisten, doel, contract, etc.). </w:t>
      </w:r>
      <w:r w:rsidRPr="00C2635D">
        <w:rPr>
          <w:rFonts w:eastAsia="Calibri" w:cs="Arial"/>
          <w:lang w:val="en-US" w:eastAsia="en-US"/>
        </w:rPr>
        <w:t>As a result, the grant statement may not be suitable for other purposes. Therefore, our auditor’s report is intended solely for … (naam entiteit(en)) and … (omschrijving specifieke verspreidingskring)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7792C9E0" w14:textId="77777777"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 xml:space="preserve">Responsibilities of management and the supervisory board </w:t>
      </w:r>
      <w:r w:rsidRPr="00C2635D">
        <w:rPr>
          <w:rFonts w:eastAsia="Calibri" w:cs="Arial"/>
          <w:b/>
          <w:vertAlign w:val="superscript"/>
          <w:lang w:val="en-US" w:eastAsia="en-US"/>
        </w:rPr>
        <w:footnoteReference w:id="238"/>
      </w:r>
      <w:r w:rsidRPr="00C2635D">
        <w:rPr>
          <w:rFonts w:eastAsia="Calibri" w:cs="Arial"/>
          <w:b/>
          <w:lang w:val="en-US" w:eastAsia="en-US"/>
        </w:rPr>
        <w:t xml:space="preserve">for the grant statement </w:t>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39"/>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44A345C8" w14:textId="77777777" w:rsidR="001322B6" w:rsidRPr="00C2635D" w:rsidRDefault="001322B6" w:rsidP="001A439A">
      <w:pPr>
        <w:widowControl w:val="0"/>
        <w:rPr>
          <w:rFonts w:eastAsia="Calibri" w:cs="Arial"/>
          <w:lang w:val="en-US" w:eastAsia="en-US"/>
        </w:rPr>
      </w:pPr>
      <w:bookmarkStart w:id="209" w:name="Paragraph_365"/>
      <w:r w:rsidRPr="00C2635D">
        <w:rPr>
          <w:rFonts w:eastAsia="Calibri" w:cs="Arial"/>
          <w:lang w:val="en-US" w:eastAsia="en-US"/>
        </w:rPr>
        <w:t>The supervisory board is responsible for overseeing the company’s financial reporting process.</w:t>
      </w:r>
      <w:bookmarkEnd w:id="209"/>
      <w:r w:rsidRPr="00C2635D">
        <w:rPr>
          <w:rFonts w:eastAsia="Calibri" w:cs="Arial"/>
          <w:vertAlign w:val="superscript"/>
          <w:lang w:val="en-GB" w:eastAsia="en-US"/>
        </w:rPr>
        <w:footnoteReference w:id="240"/>
      </w:r>
    </w:p>
    <w:p w14:paraId="46B8DD34"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objective is to plan and perform the audit engagement in a manner that allows us to obtain sufficient and appropriate audit evidence for our opinion.  </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errors and fraud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scepticism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p>
    <w:p w14:paraId="3278830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544892EA"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 xml:space="preserve">evaluating the overall presentation, structure and content of the grant statement, including the disclosures; and </w:t>
      </w:r>
    </w:p>
    <w:p w14:paraId="7F390B3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whether the grant statement represent</w:t>
      </w:r>
      <w:r w:rsidR="005D1DDF" w:rsidRPr="00C2635D">
        <w:rPr>
          <w:rFonts w:eastAsia="Calibri" w:cs="Arial"/>
          <w:lang w:val="en-US" w:eastAsia="en-US"/>
        </w:rPr>
        <w:t>s</w:t>
      </w:r>
      <w:r w:rsidRPr="00C2635D">
        <w:rPr>
          <w:rFonts w:eastAsia="Calibri" w:cs="Arial"/>
          <w:lang w:val="en-US" w:eastAsia="en-US"/>
        </w:rPr>
        <w:t xml:space="preserve"> the underlying transactions and events in a manner that achieves fair presentation.</w:t>
      </w:r>
    </w:p>
    <w:p w14:paraId="4A7173D6" w14:textId="77777777" w:rsidR="001322B6" w:rsidRPr="00C2635D" w:rsidRDefault="001322B6" w:rsidP="001A439A">
      <w:pPr>
        <w:widowControl w:val="0"/>
        <w:rPr>
          <w:rFonts w:eastAsia="Calibri" w:cs="Arial"/>
          <w:lang w:val="en-US" w:eastAsia="en-US"/>
        </w:rPr>
      </w:pPr>
    </w:p>
    <w:p w14:paraId="7D75ADA2"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D1DDF" w:rsidRPr="00C2635D">
        <w:rPr>
          <w:rFonts w:eastAsia="Calibri" w:cs="Arial"/>
          <w:lang w:val="en-US" w:eastAsia="en-US"/>
        </w:rPr>
        <w:t>the supervisory board</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08"/>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10" w:name="_Toc53399363"/>
      <w:bookmarkStart w:id="211" w:name="_Toc111791878"/>
      <w:bookmarkStart w:id="212" w:name="_Toc111798535"/>
      <w:bookmarkStart w:id="213" w:name="_Toc111798867"/>
      <w:bookmarkStart w:id="214" w:name="_Toc183503414"/>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10"/>
      <w:bookmarkEnd w:id="211"/>
      <w:bookmarkEnd w:id="212"/>
      <w:bookmarkEnd w:id="213"/>
      <w:bookmarkEnd w:id="214"/>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5" w:name="_Toc183503415"/>
      <w:r w:rsidRPr="00C2635D">
        <w:t>12.</w:t>
      </w:r>
      <w:r>
        <w:t>3</w:t>
      </w:r>
      <w:r w:rsidRPr="00C2635D">
        <w:t xml:space="preserve"> </w:t>
      </w:r>
      <w:r w:rsidRPr="00FD2DA4">
        <w:t>Assurance-rapport onderzoek vermogensscheiding beleggingsondernemingen (ex art. 165d Besluit Gedragstoezicht financiële ondernemingen Wft)</w:t>
      </w:r>
      <w:bookmarkEnd w:id="215"/>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r>
        <w:rPr>
          <w:rFonts w:cs="Arial"/>
        </w:rPr>
        <w:t>Bestuursverklaring</w:t>
      </w:r>
    </w:p>
    <w:p w14:paraId="3AAD5980" w14:textId="77777777" w:rsidR="001467F4" w:rsidRPr="00CF6B10" w:rsidRDefault="001467F4" w:rsidP="001467F4">
      <w:pPr>
        <w:widowControl w:val="0"/>
        <w:rPr>
          <w:rFonts w:cs="Arial"/>
        </w:rPr>
      </w:pPr>
      <w:r w:rsidRPr="00CF6B10">
        <w:rPr>
          <w:rFonts w:cs="Arial"/>
        </w:rPr>
        <w:t>Uitgangspunt voor deze voorbeeldtekst is het bestaan van een bestuursverklaring vermogensscheiding waarin de van toepassing zijnde criteria zijn opgenomen (vergelijkbaar met een Standaard 3402 rapport). Essentieel is dat de bestuursverklaring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bestuursverklaring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Pr>
          <w:rFonts w:cs="Arial"/>
        </w:rPr>
        <w:t xml:space="preserve"> </w:t>
      </w:r>
      <w:r w:rsidRPr="003139ED">
        <w:rPr>
          <w:rFonts w:cs="Arial"/>
        </w:rPr>
        <w:t>In de sectorbrief van 8 maart 2021 sprak de AFM de verwachting uit dat ook compliance met de artikel 31b BGfo Wft (</w:t>
      </w:r>
      <w:r w:rsidRPr="00301ABB">
        <w:rPr>
          <w:rFonts w:cs="Arial"/>
          <w:i/>
          <w:iCs/>
        </w:rPr>
        <w:t>verantwoordelijkheid voor onderwerp vermogensscheiding dient specifiek bij één persoon te worden belegd</w:t>
      </w:r>
      <w:r w:rsidRPr="003139ED">
        <w:rPr>
          <w:rFonts w:cs="Arial"/>
        </w:rPr>
        <w:t>) wordt overwogen en punt 9.26 van Bijlage 11 bij de Nrgfo (</w:t>
      </w:r>
      <w:r w:rsidRPr="00301ABB">
        <w:rPr>
          <w:rFonts w:cs="Arial"/>
          <w:i/>
          <w:iCs/>
        </w:rPr>
        <w:t>dat onder andere de (administratieve) verplichtingen verduidelijkt van rechtspersonen die overeenkomstig artikel 7:17 of 7:18 Nrgfo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2B1E1479"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3C042652" w14:textId="77777777" w:rsidR="001467F4" w:rsidRPr="00CF6B10" w:rsidRDefault="001467F4" w:rsidP="001467F4">
      <w:pPr>
        <w:widowControl w:val="0"/>
        <w:pBdr>
          <w:bottom w:val="single" w:sz="6" w:space="1" w:color="auto"/>
        </w:pBdr>
        <w:rPr>
          <w:rFonts w:cs="Arial"/>
        </w:rPr>
      </w:pP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BGfo Wft)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r w:rsidRPr="00267FB7">
        <w:rPr>
          <w:rFonts w:cs="Arial"/>
          <w:lang w:val="en-US"/>
        </w:rPr>
        <w:t>Besluit Gedragstoezicht financiële ondernemingen Wft (BGfo Wft</w:t>
      </w:r>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(naam entiteit</w:t>
      </w:r>
      <w:r w:rsidRPr="000802E9">
        <w:rPr>
          <w:rFonts w:cs="Arial"/>
          <w:lang w:val="en-GB"/>
        </w:rPr>
        <w:t>)</w:t>
      </w:r>
      <w:r w:rsidR="003B34F9">
        <w:rPr>
          <w:rFonts w:cs="Arial"/>
          <w:lang w:val="en-GB"/>
        </w:rPr>
        <w:t xml:space="preserve"> based in </w:t>
      </w:r>
      <w:r w:rsidRPr="000802E9">
        <w:rPr>
          <w:rFonts w:cs="Arial"/>
          <w:lang w:val="en-GB"/>
        </w:rPr>
        <w:t>… ((</w:t>
      </w:r>
      <w:r w:rsidRPr="0031292E">
        <w:rPr>
          <w:rFonts w:cs="Arial"/>
          <w:lang w:val="en-US"/>
        </w:rPr>
        <w:t>statutaire) vestigingsplaats</w:t>
      </w:r>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these arrangements are adequately designed in order to comply with Sections 165 to 165f BGfo Wft.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naam entiteit</w:t>
      </w:r>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Assurance-opdrachten anders dan opdrachten tot controle of beoordeling van historische financiële informatie (attest-opdrachten</w:t>
      </w:r>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Onderzoek vermogensscheiding</w:t>
      </w:r>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r w:rsidRPr="007049C1">
        <w:rPr>
          <w:rFonts w:cs="Arial"/>
          <w:i/>
          <w:iCs/>
          <w:lang w:val="en-US"/>
        </w:rPr>
        <w:t>Specifieke verplichtingen vanuit de toezichtwet- en regelgeving voor de interne auditor en de externe accountant bij banken</w:t>
      </w:r>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naam entiteit(en</w:t>
      </w:r>
      <w:r w:rsidRPr="00991011">
        <w:rPr>
          <w:rFonts w:cs="Arial"/>
          <w:bCs/>
          <w:lang w:val="en-US"/>
        </w:rPr>
        <w:t>))</w:t>
      </w:r>
      <w:r w:rsidRPr="007A72FF">
        <w:rPr>
          <w:rFonts w:cs="Arial"/>
          <w:bCs/>
          <w:lang w:val="en-GB"/>
        </w:rPr>
        <w:t xml:space="preserve"> in accordance with the </w:t>
      </w:r>
      <w:r w:rsidRPr="00991011">
        <w:rPr>
          <w:rFonts w:cs="Arial"/>
          <w:bCs/>
          <w:lang w:val="en-US"/>
        </w:rPr>
        <w:t>‘</w:t>
      </w:r>
      <w:r w:rsidRPr="00E74E7D">
        <w:rPr>
          <w:rFonts w:cs="Arial"/>
          <w:bCs/>
          <w:i/>
          <w:iCs/>
          <w:lang w:val="en-US"/>
        </w:rPr>
        <w:t>Verordening inzake de onafhankelijkheid van accountants bij assurance-opdrachten</w:t>
      </w:r>
      <w:r w:rsidRPr="00267FB7">
        <w:rPr>
          <w:rFonts w:cs="Arial"/>
          <w:bCs/>
          <w:lang w:val="en-US"/>
        </w:rPr>
        <w:t>’ (ViO</w:t>
      </w:r>
      <w:r w:rsidRPr="007A72FF">
        <w:rPr>
          <w:rFonts w:cs="Arial"/>
          <w:bCs/>
          <w:lang w:val="en-GB"/>
        </w:rPr>
        <w:t>, Code of Ethics for Professional Accountants, a regulation with respect to independence). Furthermore we have complied with the ‘</w:t>
      </w:r>
      <w:r w:rsidRPr="00E74E7D">
        <w:rPr>
          <w:rFonts w:cs="Arial"/>
          <w:bCs/>
          <w:i/>
          <w:iCs/>
          <w:lang w:val="en-US"/>
        </w:rPr>
        <w:t>Verordening gedrags- en beroepsregels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r w:rsidRPr="004B4721">
        <w:rPr>
          <w:rFonts w:cs="Arial"/>
          <w:b/>
          <w:i/>
          <w:lang w:val="en-IE"/>
        </w:rPr>
        <w:t>Optioneel</w:t>
      </w:r>
      <w:r w:rsidRPr="004B4721">
        <w:rPr>
          <w:rFonts w:cs="Arial"/>
          <w:lang w:val="en-IE"/>
        </w:rPr>
        <w:t xml:space="preserve">: </w:t>
      </w:r>
      <w:r w:rsidRPr="004B4721">
        <w:rPr>
          <w:rFonts w:cs="Arial"/>
          <w:i/>
          <w:iCs/>
          <w:lang w:val="en-IE"/>
        </w:rPr>
        <w:t xml:space="preserve">The information in ... (bijv. management response) has been included by the </w:t>
      </w:r>
      <w:r>
        <w:rPr>
          <w:rFonts w:cs="Arial"/>
          <w:i/>
          <w:iCs/>
          <w:lang w:val="en-IE"/>
        </w:rPr>
        <w:t>management</w:t>
      </w:r>
      <w:r w:rsidRPr="004B4721">
        <w:rPr>
          <w:rFonts w:cs="Arial"/>
          <w:i/>
          <w:iCs/>
          <w:lang w:val="en-IE"/>
        </w:rPr>
        <w:t xml:space="preserve"> of ... (naam entiteit)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FD2DA4">
      <w:pPr>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E064C4">
      <w:pPr>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Autoriteit Financiële Markten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entiteit) to comply with </w:t>
      </w:r>
      <w:r>
        <w:rPr>
          <w:rFonts w:cs="Arial"/>
          <w:lang w:val="en-IE"/>
        </w:rPr>
        <w:t>Section</w:t>
      </w:r>
      <w:r w:rsidRPr="006E1A03">
        <w:rPr>
          <w:rFonts w:cs="Arial"/>
          <w:lang w:val="en-IE"/>
        </w:rPr>
        <w:t xml:space="preserve"> 165d BGfo Wft.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entiteit) and the Autoriteit Financiële Markten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BGfo Wft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77777777"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 error or fraud.</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7777777"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and appropriate assurance evidence for our opinion.</w:t>
      </w:r>
    </w:p>
    <w:p w14:paraId="7F695E7E" w14:textId="77777777" w:rsidR="00CB4EEB" w:rsidRDefault="00CB4EEB" w:rsidP="00FD2DA4">
      <w:pPr>
        <w:widowControl w:val="0"/>
        <w:rPr>
          <w:rFonts w:cs="Arial"/>
          <w:bCs/>
          <w:lang w:val="en-IE"/>
        </w:rPr>
      </w:pPr>
    </w:p>
    <w:p w14:paraId="085B11F2" w14:textId="77777777" w:rsidR="00CB4EEB" w:rsidRDefault="00CB4EEB" w:rsidP="00FD2DA4">
      <w:pPr>
        <w:widowControl w:val="0"/>
        <w:rPr>
          <w:rFonts w:cs="Arial"/>
          <w:bCs/>
          <w:lang w:val="en-IE"/>
        </w:rPr>
      </w:pPr>
      <w:r w:rsidRPr="00AC52C4">
        <w:rPr>
          <w:rFonts w:cs="Arial"/>
          <w:bCs/>
          <w:lang w:val="en-US"/>
        </w:rPr>
        <w:t>Our examination has been performed with a high, but not absolute, level of assurance, which means we may not detect all material error</w:t>
      </w:r>
      <w:r>
        <w:rPr>
          <w:rFonts w:cs="Arial"/>
          <w:bCs/>
          <w:lang w:val="en-US"/>
        </w:rPr>
        <w:t>s</w:t>
      </w:r>
      <w:r w:rsidRPr="00AC52C4">
        <w:rPr>
          <w:rFonts w:cs="Arial"/>
          <w:bCs/>
          <w:lang w:val="en-US"/>
        </w:rPr>
        <w:t xml:space="preserve"> and fraud</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r w:rsidRPr="00CB4EEB">
        <w:rPr>
          <w:rFonts w:cs="Arial"/>
          <w:bCs/>
          <w:i/>
          <w:iCs/>
          <w:lang w:val="en-US"/>
        </w:rPr>
        <w:t>Nadere voorschriften kwaliteitssystemen</w:t>
      </w:r>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en</w:t>
      </w:r>
      <w:r>
        <w:rPr>
          <w:rFonts w:cs="Arial"/>
          <w:bCs/>
          <w:lang w:val="en-IE"/>
        </w:rPr>
        <w:t>t</w:t>
      </w:r>
      <w:r w:rsidRPr="004A49D7">
        <w:rPr>
          <w:rFonts w:cs="Arial"/>
          <w:bCs/>
          <w:lang w:val="en-IE"/>
        </w:rPr>
        <w:t xml:space="preserve">iteit)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lastRenderedPageBreak/>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216" w:name="_Toc413836809"/>
      <w:bookmarkStart w:id="217" w:name="_Toc413837128"/>
      <w:bookmarkStart w:id="218" w:name="_Toc413837900"/>
      <w:bookmarkStart w:id="219" w:name="_Toc495655446"/>
      <w:bookmarkStart w:id="220" w:name="_Toc53399364"/>
      <w:bookmarkStart w:id="221" w:name="_Toc111791879"/>
      <w:bookmarkStart w:id="222" w:name="_Toc111798536"/>
      <w:bookmarkStart w:id="223" w:name="_Toc111798868"/>
      <w:bookmarkStart w:id="224" w:name="_Toc183503416"/>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Wft bij Rapportage renterisico kredietinstelling ex art</w:t>
      </w:r>
      <w:r w:rsidR="00D82E95">
        <w:t>ikel</w:t>
      </w:r>
      <w:r w:rsidRPr="00C2635D">
        <w:t xml:space="preserve"> 3:72 lid 1 Wft</w:t>
      </w:r>
      <w:bookmarkEnd w:id="216"/>
      <w:bookmarkEnd w:id="217"/>
      <w:bookmarkEnd w:id="218"/>
      <w:bookmarkEnd w:id="219"/>
      <w:bookmarkEnd w:id="220"/>
      <w:bookmarkEnd w:id="221"/>
      <w:bookmarkEnd w:id="222"/>
      <w:bookmarkEnd w:id="223"/>
      <w:bookmarkEnd w:id="224"/>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5" w:name="_Toc53399365"/>
      <w:bookmarkStart w:id="226" w:name="_Toc111791880"/>
      <w:bookmarkStart w:id="227" w:name="_Toc111798537"/>
      <w:bookmarkStart w:id="228" w:name="_Toc111798869"/>
      <w:bookmarkStart w:id="229" w:name="_Toc183503417"/>
      <w:r w:rsidRPr="00C2635D">
        <w:t>13 </w:t>
      </w:r>
      <w:r w:rsidR="00610AC6" w:rsidRPr="00C2635D" w:rsidDel="00610AC6">
        <w:t xml:space="preserve"> </w:t>
      </w:r>
      <w:r w:rsidR="00610AC6">
        <w:t>R</w:t>
      </w:r>
      <w:r w:rsidR="00367BED" w:rsidRPr="00C2635D">
        <w:t>apportages ten behoeve van beleggingsinstellingen en - ondernemingen</w:t>
      </w:r>
      <w:bookmarkEnd w:id="225"/>
      <w:bookmarkEnd w:id="226"/>
      <w:bookmarkEnd w:id="227"/>
      <w:bookmarkEnd w:id="228"/>
      <w:bookmarkEnd w:id="229"/>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0" w:name="_Toc53399366"/>
      <w:bookmarkStart w:id="231" w:name="_Toc111791881"/>
      <w:bookmarkStart w:id="232" w:name="_Toc111798538"/>
      <w:bookmarkStart w:id="233" w:name="_Toc111798870"/>
      <w:bookmarkStart w:id="234" w:name="_Toc183503418"/>
      <w:r w:rsidRPr="00C2635D">
        <w:t xml:space="preserve">13.5 </w:t>
      </w:r>
      <w:r w:rsidR="00367BED" w:rsidRPr="00C2635D">
        <w:t>Controleverklaring intrinsieke waarde beleggings</w:t>
      </w:r>
      <w:r w:rsidR="00CD73C4" w:rsidRPr="00C2635D">
        <w:t>entiteit</w:t>
      </w:r>
      <w:bookmarkEnd w:id="230"/>
      <w:bookmarkEnd w:id="231"/>
      <w:bookmarkEnd w:id="232"/>
      <w:bookmarkEnd w:id="233"/>
      <w:bookmarkEnd w:id="234"/>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r w:rsidRPr="00C2635D">
        <w:rPr>
          <w:rFonts w:cs="Arial"/>
          <w:i/>
          <w:lang w:val="en-GB" w:eastAsia="en-US"/>
        </w:rPr>
        <w:t>maatschappij: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 (naam beleggingsentiteit)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(datum) of … (naam van beleggingsentiteit) based in (vestigingsplaats belegg</w:t>
      </w:r>
      <w:r w:rsidR="006463EF" w:rsidRPr="00C2635D">
        <w:rPr>
          <w:rFonts w:cs="Arial"/>
          <w:lang w:eastAsia="en-US"/>
        </w:rPr>
        <w:t xml:space="preserve">ingsentiteit) (hereafter: ‘the </w:t>
      </w:r>
      <w:r w:rsidRPr="00C2635D">
        <w:rPr>
          <w:rFonts w:cs="Arial"/>
          <w:lang w:eastAsia="en-US"/>
        </w:rPr>
        <w:t>overview’).</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[maatschappij: shares][fonds: participations] </w:t>
      </w:r>
      <w:r w:rsidRPr="00C2635D">
        <w:rPr>
          <w:rFonts w:cs="Arial"/>
          <w:lang w:val="en-US" w:eastAsia="en-US"/>
        </w:rPr>
        <w:t>outstanding and Net asset value per</w:t>
      </w:r>
      <w:r w:rsidRPr="00C2635D">
        <w:rPr>
          <w:rFonts w:cs="Arial"/>
          <w:i/>
          <w:lang w:val="en-US" w:eastAsia="en-US"/>
        </w:rPr>
        <w:t xml:space="preserve"> [maatschappij: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[maatschappij: management][fonds: the manager] </w:t>
      </w:r>
      <w:r w:rsidR="006463EF" w:rsidRPr="00C2635D">
        <w:rPr>
          <w:rFonts w:cs="Arial"/>
          <w:lang w:val="en-US" w:eastAsia="en-US"/>
        </w:rPr>
        <w:t>[</w:t>
      </w:r>
      <w:r w:rsidRPr="00C2635D">
        <w:rPr>
          <w:rFonts w:cs="Arial"/>
          <w:b/>
          <w:i/>
          <w:lang w:val="en-US" w:eastAsia="en-US"/>
        </w:rPr>
        <w:t>optioneel</w:t>
      </w:r>
      <w:r w:rsidRPr="00C2635D">
        <w:rPr>
          <w:rFonts w:cs="Arial"/>
          <w:i/>
          <w:lang w:val="en-US" w:eastAsia="en-US"/>
        </w:rPr>
        <w:t>: and the net asset value attributable to each [maatschappij</w:t>
      </w:r>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We are independent of … (naam en rechtsvorm beleggingsentiteit)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r w:rsidRPr="00C2635D">
        <w:rPr>
          <w:rFonts w:cs="Arial"/>
          <w:b/>
          <w:i/>
          <w:lang w:val="en-GB" w:eastAsia="en-US"/>
        </w:rPr>
        <w:t>maatschappij: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r w:rsidRPr="00C2635D">
        <w:rPr>
          <w:rFonts w:cs="Arial"/>
          <w:i/>
          <w:lang w:val="en-GB" w:eastAsia="en-US"/>
        </w:rPr>
        <w:t>maatschappij: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7777777"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and appropriate audit evidence for our opinion.</w:t>
      </w:r>
    </w:p>
    <w:p w14:paraId="5634EB7D" w14:textId="77777777" w:rsidR="00380446" w:rsidRPr="00C2635D" w:rsidRDefault="00380446" w:rsidP="001A439A">
      <w:pPr>
        <w:widowControl w:val="0"/>
        <w:rPr>
          <w:rFonts w:cs="Arial"/>
          <w:lang w:val="en-GB" w:eastAsia="en-US"/>
        </w:rPr>
      </w:pPr>
    </w:p>
    <w:p w14:paraId="473AFF7D" w14:textId="77777777" w:rsidR="00380446" w:rsidRPr="00C2635D" w:rsidRDefault="00380446" w:rsidP="001A439A">
      <w:pPr>
        <w:widowControl w:val="0"/>
        <w:rPr>
          <w:rFonts w:cs="Arial"/>
          <w:lang w:val="en-GB" w:eastAsia="en-US"/>
        </w:rPr>
      </w:pPr>
      <w:r w:rsidRPr="00C2635D">
        <w:rPr>
          <w:rFonts w:cs="Arial"/>
          <w:lang w:val="en-GB" w:eastAsia="en-US"/>
        </w:rPr>
        <w:t>Our audit has been performed with a high, but not absolute, level of assurance, which means we may not detect all material errors and fraud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[maatschappij: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[maatschappij: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5F6A5AFE" w14:textId="77777777" w:rsidR="00380446" w:rsidRPr="00C2635D" w:rsidRDefault="00380446" w:rsidP="001A439A">
      <w:pPr>
        <w:widowControl w:val="0"/>
        <w:rPr>
          <w:rFonts w:cs="Arial"/>
          <w:lang w:val="en-GB" w:eastAsia="en-US"/>
        </w:rPr>
      </w:pPr>
      <w:r w:rsidRPr="00C2635D">
        <w:rPr>
          <w:rFonts w:cs="Arial"/>
          <w:lang w:val="en-GB" w:eastAsia="en-US"/>
        </w:rPr>
        <w:t xml:space="preserve">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w:t>
      </w:r>
      <w:r w:rsidR="006463EF" w:rsidRPr="00C2635D">
        <w:rPr>
          <w:rFonts w:cs="Arial"/>
          <w:lang w:val="en-GB" w:eastAsia="en-US"/>
        </w:rPr>
        <w:t>information or specific items.</w:t>
      </w:r>
      <w:r w:rsidR="00860CA8" w:rsidRPr="00C2635D">
        <w:rPr>
          <w:rStyle w:val="Voetnootmarkering"/>
          <w:rFonts w:cs="Arial"/>
        </w:rPr>
        <w:footnoteReference w:id="246"/>
      </w:r>
    </w:p>
    <w:p w14:paraId="0E31B046"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5" w:name="_Toc522018303"/>
      <w:bookmarkStart w:id="236" w:name="_Toc53399367"/>
      <w:bookmarkStart w:id="237" w:name="_Toc111791882"/>
      <w:bookmarkStart w:id="238" w:name="_Toc111798539"/>
      <w:bookmarkStart w:id="239" w:name="_Toc111798871"/>
      <w:bookmarkStart w:id="240" w:name="_Toc183503419"/>
      <w:r w:rsidRPr="00B43626">
        <w:t xml:space="preserve">13.6 </w:t>
      </w:r>
      <w:r w:rsidRPr="00B43626">
        <w:rPr>
          <w:rFonts w:eastAsia="Calibri"/>
        </w:rPr>
        <w:t>Assurance-rapport naleving icbe-bepalingen (ex art</w:t>
      </w:r>
      <w:r w:rsidR="003F4D9C" w:rsidRPr="00B43626">
        <w:rPr>
          <w:rFonts w:eastAsia="Calibri"/>
        </w:rPr>
        <w:t>ikel</w:t>
      </w:r>
      <w:r w:rsidRPr="00B43626">
        <w:rPr>
          <w:rFonts w:eastAsia="Calibri"/>
        </w:rPr>
        <w:t xml:space="preserve"> 144 BGfo Wft)</w:t>
      </w:r>
      <w:bookmarkEnd w:id="235"/>
      <w:bookmarkEnd w:id="236"/>
      <w:bookmarkEnd w:id="237"/>
      <w:bookmarkEnd w:id="238"/>
      <w:bookmarkEnd w:id="239"/>
      <w:bookmarkEnd w:id="240"/>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In de voorbeeldrapportage is het bestuur dan wel de beheerder van de icbe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 xml:space="preserve">NB2: Een instelling voor collectieve belegging en effecten (icbe)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Heeft de icbe wel rechtspersoonlijkheid, dan is het bestuur (of de directie) verantwoordelijk voor het handelen van de icbe.</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Heeft de icbe geen rechtspersoonlijkheid, dan is de beheerder verantwoordelijk voor het handelen van de icbe.</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r w:rsidRPr="00C2635D">
        <w:rPr>
          <w:rFonts w:eastAsia="Calibri" w:cs="Arial"/>
          <w:lang w:val="en-US"/>
        </w:rPr>
        <w:t>Besluit Gedragstoezicht financiële ondernemingen Wft (BGfo Wft,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8"/>
      </w:r>
      <w:r w:rsidRPr="00C2635D">
        <w:rPr>
          <w:rFonts w:eastAsia="Calibri" w:cs="Arial"/>
          <w:lang w:val="en-US"/>
        </w:rPr>
        <w:t xml:space="preserve"> of ] … (naam icbe)</w:t>
      </w:r>
      <w:r w:rsidR="003B34F9">
        <w:rPr>
          <w:rFonts w:eastAsia="Calibri" w:cs="Arial"/>
          <w:lang w:val="en-US"/>
        </w:rPr>
        <w:t xml:space="preserve"> based in </w:t>
      </w:r>
      <w:r w:rsidRPr="00C2635D">
        <w:rPr>
          <w:rFonts w:eastAsia="Calibri" w:cs="Arial"/>
          <w:lang w:val="en-US"/>
        </w:rPr>
        <w:t xml:space="preserve">… ((statutaire) vestigingsplaats)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icbe)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130 up to and including 143 of BGfo Wft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ucits’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We are independent of … (naam icbe)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Autoriteit Financiële Markten (Dutch Authority for the Financial Markets) to assist … (naam icbe)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144 BGfo Wft. As a result, our assurance-report may not be suitable for another purpose. Therefore, our assurance report is intended solely for [management/the manager] of … (naam icbe)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Responsibilities of [management/the manager] for acting in accordance with ucits-provisions</w:t>
      </w:r>
      <w:r w:rsidRPr="00C2635D">
        <w:rPr>
          <w:rFonts w:eastAsia="Calibri" w:cs="Arial"/>
          <w:b/>
          <w:position w:val="6"/>
          <w:sz w:val="14"/>
          <w:lang w:val="en-US"/>
        </w:rPr>
        <w:footnoteReference w:id="24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[Management/The Manager] is responsible for acting in accordance with ucits-provisions.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ucits-provisions,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Our responsibilities for the examination of acting by [the manager of] the ucits</w:t>
      </w:r>
    </w:p>
    <w:p w14:paraId="66627C78" w14:textId="77777777"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77777777"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errors and fraud.</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 xml:space="preserve">We apply the ‘Nadere voorschriften kwaliteitssystemen’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identifying and assessing the risks that [the manager of] the ucits did not act in all material respects in accordance with UCITS provisions, whether due to errors or fraud,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1" w:name="_Toc53399368"/>
      <w:bookmarkStart w:id="242" w:name="_Toc111791883"/>
      <w:bookmarkStart w:id="243" w:name="_Toc111798540"/>
      <w:bookmarkStart w:id="244" w:name="_Toc111798872"/>
      <w:bookmarkStart w:id="245" w:name="_Toc183503420"/>
      <w:r w:rsidRPr="00B43626">
        <w:t>13.10 Assurance-rapport bij inhoud prospectus icbe (ex art</w:t>
      </w:r>
      <w:r w:rsidR="003F4D9C" w:rsidRPr="00B43626">
        <w:t>ikel</w:t>
      </w:r>
      <w:r w:rsidRPr="00B43626">
        <w:t xml:space="preserve"> 4:49 lid 2 c Wft)</w:t>
      </w:r>
      <w:bookmarkEnd w:id="241"/>
      <w:bookmarkEnd w:id="242"/>
      <w:bookmarkEnd w:id="243"/>
      <w:bookmarkEnd w:id="244"/>
      <w:bookmarkEnd w:id="245"/>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(icbe)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Heeft de icbe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Heeft de icbe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r w:rsidR="009540A0" w:rsidRPr="00C2635D">
        <w:rPr>
          <w:rFonts w:cs="Arial"/>
          <w:lang w:val="en-GB"/>
        </w:rPr>
        <w:t>Dit is toegelicht in paragraaf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Wft)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financieel toezicht (Wft, Act on Financial Supervision), we have examined the prospectus of … (naam icbe)</w:t>
      </w:r>
      <w:r w:rsidR="003B34F9">
        <w:rPr>
          <w:rFonts w:cs="Arial"/>
          <w:lang w:val="en-US"/>
        </w:rPr>
        <w:t xml:space="preserve"> based in </w:t>
      </w:r>
      <w:r w:rsidRPr="00C2635D">
        <w:rPr>
          <w:rFonts w:cs="Arial"/>
          <w:lang w:val="en-US"/>
        </w:rPr>
        <w:t>… ((statutaire) vestigingsplaats).</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icbe) contains, in all material respects, at least the information required by or pursuant to the Wft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We are independent of …(naam icbe)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Wft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Wft.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090ACD38" w14:textId="77777777" w:rsidR="005B4CD7" w:rsidRPr="00C2635D" w:rsidRDefault="005B4CD7" w:rsidP="001A439A">
      <w:pPr>
        <w:widowControl w:val="0"/>
        <w:rPr>
          <w:rFonts w:cs="Arial"/>
          <w:lang w:val="en-US"/>
        </w:rPr>
      </w:pPr>
      <w:r w:rsidRPr="00C2635D">
        <w:rPr>
          <w:rFonts w:cs="Arial"/>
          <w:lang w:val="en-US"/>
        </w:rPr>
        <w:t>[Management / The manager] is responsible for the preparation of the prospectus that contains at least the information required by or pursuant to the Wft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77777777"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and appropriate assurance evidence for our opinion.</w:t>
      </w:r>
    </w:p>
    <w:p w14:paraId="3846368B" w14:textId="77777777" w:rsidR="005B4CD7" w:rsidRPr="00C2635D" w:rsidRDefault="005B4CD7" w:rsidP="001A439A">
      <w:pPr>
        <w:widowControl w:val="0"/>
        <w:rPr>
          <w:rFonts w:cs="Arial"/>
          <w:lang w:val="en-US"/>
        </w:rPr>
      </w:pPr>
    </w:p>
    <w:p w14:paraId="78A744D7" w14:textId="77777777"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 in the prospectus due to error and fraud.</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 xml:space="preserve">We apply the ‘Nadere voorschriften kwaliteitssystemen’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77777777" w:rsidR="005B4CD7" w:rsidRPr="00C2635D" w:rsidRDefault="005B4CD7" w:rsidP="00FD0510">
      <w:pPr>
        <w:widowControl w:val="0"/>
        <w:numPr>
          <w:ilvl w:val="0"/>
          <w:numId w:val="27"/>
        </w:numPr>
        <w:rPr>
          <w:rFonts w:cs="Arial"/>
          <w:lang w:val="en-US"/>
        </w:rPr>
      </w:pPr>
      <w:r w:rsidRPr="00C2635D">
        <w:rPr>
          <w:rFonts w:cs="Arial"/>
          <w:lang w:val="en-US"/>
        </w:rPr>
        <w:t>identifying and assessing the risks of material omissions of information required by or pursuant to the Wft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r w:rsidRPr="00C2635D">
        <w:rPr>
          <w:rFonts w:cs="Arial"/>
          <w:b/>
          <w:i/>
          <w:lang w:val="en-US"/>
        </w:rPr>
        <w:t>optioneel</w:t>
      </w:r>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6" w:name="_Toc53399369"/>
    </w:p>
    <w:p w14:paraId="405F965C" w14:textId="77777777" w:rsidR="005B090B" w:rsidRPr="00C2635D" w:rsidRDefault="005B090B" w:rsidP="00A71A67">
      <w:pPr>
        <w:pStyle w:val="Kop2"/>
      </w:pPr>
      <w:bookmarkStart w:id="247" w:name="_Toc111791884"/>
      <w:bookmarkStart w:id="248" w:name="_Toc111798541"/>
      <w:bookmarkStart w:id="249" w:name="_Toc111798873"/>
      <w:bookmarkStart w:id="250" w:name="_Toc183503421"/>
      <w:r w:rsidRPr="00C2635D">
        <w:t>13.11 Assurance-rapport bij inhoud prospectus beleggingsinstelling (ex art</w:t>
      </w:r>
      <w:r w:rsidR="003F4D9C">
        <w:t>ikel</w:t>
      </w:r>
      <w:r w:rsidRPr="00C2635D">
        <w:t xml:space="preserve"> 115x lid 1e BGfo Wft)</w:t>
      </w:r>
      <w:bookmarkEnd w:id="246"/>
      <w:bookmarkEnd w:id="247"/>
      <w:bookmarkEnd w:id="248"/>
      <w:bookmarkEnd w:id="249"/>
      <w:bookmarkEnd w:id="250"/>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xml:space="preserve">: De rol van de accountant is het vaststellen of de bij of krachtens de Wet op het financieel toezicht (Wft) vereiste gegevens voor het prospectus van een beleggingsinstelling zijn opgenomen(artikelen 4:37p lid 1 en 4:37i lid 3 en 4 Wft en verder uitgewerkt in de regels van de artikelen 115j, 115v en 115x van het BGfo Wft,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r w:rsidR="00A3414C" w:rsidRPr="00C2635D">
        <w:rPr>
          <w:rFonts w:cs="Arial"/>
          <w:lang w:val="en-GB"/>
        </w:rPr>
        <w:t>Dit is toegelicht in paragraaf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BGfo Wft)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Besluit Gedragstoezicht financiële ondernemingen Wft (BGfo Wft, Decree on the Supervision of the Conduct of Financial Undertakings pursuant to the Act on Financial Supervision ), we have examined the prospectus of … (naam </w:t>
      </w:r>
      <w:r w:rsidR="00A3414C" w:rsidRPr="00C2635D">
        <w:rPr>
          <w:rFonts w:cs="Arial"/>
          <w:lang w:val="en-US"/>
        </w:rPr>
        <w:t>entiteit</w:t>
      </w:r>
      <w:r w:rsidRPr="00C2635D">
        <w:rPr>
          <w:rFonts w:cs="Arial"/>
          <w:lang w:val="en-US"/>
        </w:rPr>
        <w:t>)</w:t>
      </w:r>
      <w:r w:rsidR="003B34F9">
        <w:rPr>
          <w:rFonts w:cs="Arial"/>
          <w:lang w:val="en-US"/>
        </w:rPr>
        <w:t xml:space="preserve"> based in </w:t>
      </w:r>
      <w:r w:rsidRPr="00C2635D">
        <w:rPr>
          <w:rFonts w:cs="Arial"/>
          <w:lang w:val="en-US"/>
        </w:rPr>
        <w:t>… ((statutaire) vestigingsplaats).</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r w:rsidR="00A3414C" w:rsidRPr="00C2635D">
        <w:rPr>
          <w:rFonts w:ascii="Arial" w:hAnsi="Arial" w:cs="Arial"/>
          <w:lang w:val="en-US"/>
        </w:rPr>
        <w:t>entiteit</w:t>
      </w:r>
      <w:r w:rsidRPr="00C2635D">
        <w:rPr>
          <w:rFonts w:ascii="Arial" w:hAnsi="Arial" w:cs="Arial"/>
          <w:lang w:val="en-US"/>
        </w:rPr>
        <w:t xml:space="preserve">) contains, in all material respects, at least the information required by or pursuant to the Wet op het financieel toezicht (Wft,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r w:rsidR="00A3414C" w:rsidRPr="00C2635D">
        <w:rPr>
          <w:rFonts w:cs="Arial"/>
          <w:lang w:val="en-US"/>
        </w:rPr>
        <w:t>entiteit</w:t>
      </w:r>
      <w:r w:rsidRPr="00C2635D">
        <w:rPr>
          <w:rFonts w:cs="Arial"/>
          <w:lang w:val="en-US"/>
        </w:rPr>
        <w:t>)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BGfo Wft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BGfo Wft.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1"/>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Wft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77777777"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and appropriate assurance evidence for our opinion.</w:t>
      </w:r>
    </w:p>
    <w:p w14:paraId="0E3FD5EA" w14:textId="77777777" w:rsidR="00A77206" w:rsidRPr="00C2635D" w:rsidRDefault="00A77206" w:rsidP="001A439A">
      <w:pPr>
        <w:widowControl w:val="0"/>
        <w:rPr>
          <w:rFonts w:cs="Arial"/>
          <w:lang w:val="en-US"/>
        </w:rPr>
      </w:pPr>
    </w:p>
    <w:p w14:paraId="41FE2CFA" w14:textId="77777777"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 in the prospectus due to error and fraud.</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 xml:space="preserve">We apply the ‘Nadere voorschriften kwaliteitssystemen’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7777777" w:rsidR="00A77206" w:rsidRPr="00C2635D" w:rsidRDefault="00A77206" w:rsidP="00FD0510">
      <w:pPr>
        <w:widowControl w:val="0"/>
        <w:numPr>
          <w:ilvl w:val="0"/>
          <w:numId w:val="27"/>
        </w:numPr>
        <w:rPr>
          <w:rFonts w:cs="Arial"/>
          <w:lang w:val="en-US"/>
        </w:rPr>
      </w:pPr>
      <w:r w:rsidRPr="00C2635D">
        <w:rPr>
          <w:rFonts w:cs="Arial"/>
          <w:lang w:val="en-US"/>
        </w:rPr>
        <w:t>identifying and assessing the risks of material omissions of information required by or pursuant to the Wft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r w:rsidRPr="00C2635D">
        <w:rPr>
          <w:rFonts w:cs="Arial"/>
          <w:b/>
          <w:i/>
          <w:lang w:val="en-US"/>
        </w:rPr>
        <w:t>optioneel</w:t>
      </w:r>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1" w:name="_Toc497825782"/>
      <w:bookmarkStart w:id="252" w:name="_Toc45717961"/>
    </w:p>
    <w:p w14:paraId="63B2372A" w14:textId="77777777" w:rsidR="007052D2" w:rsidRPr="007052D2" w:rsidRDefault="007052D2" w:rsidP="00A71A67">
      <w:pPr>
        <w:pStyle w:val="Kop2"/>
      </w:pPr>
      <w:bookmarkStart w:id="253" w:name="_Toc111791885"/>
      <w:bookmarkStart w:id="254" w:name="_Toc111798542"/>
      <w:bookmarkStart w:id="255" w:name="_Toc111798874"/>
      <w:bookmarkStart w:id="256" w:name="_Toc183503422"/>
      <w:r w:rsidRPr="007052D2">
        <w:t>13.18 Verslag van de accountant naar de juistheid van de feitelijke ruilverhouding bij de fusie van icbe’s (artikel 4:62f Wft)</w:t>
      </w:r>
      <w:bookmarkEnd w:id="253"/>
      <w:bookmarkEnd w:id="254"/>
      <w:bookmarkEnd w:id="255"/>
      <w:bookmarkEnd w:id="256"/>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Wft</w:t>
      </w:r>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(the manager/management) of … (naam verdwijnende icbe)</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naam verdwijnende icbe</w:t>
      </w:r>
      <w:r w:rsidRPr="00B44169">
        <w:rPr>
          <w:rFonts w:cs="Arial"/>
          <w:bCs/>
          <w:iCs/>
          <w:kern w:val="32"/>
        </w:rPr>
        <w:t xml:space="preserve">) </w:t>
      </w:r>
      <w:r w:rsidRPr="00B44169">
        <w:rPr>
          <w:rFonts w:eastAsia="Calibri" w:cs="Arial"/>
        </w:rPr>
        <w:t xml:space="preserve">based in ... </w:t>
      </w:r>
      <w:r w:rsidRPr="00DA4638">
        <w:rPr>
          <w:rFonts w:eastAsia="Calibri" w:cs="Arial"/>
          <w:lang w:val="en-US"/>
        </w:rPr>
        <w:t>((</w:t>
      </w:r>
      <w:r w:rsidRPr="00B44169">
        <w:rPr>
          <w:rFonts w:eastAsia="Calibri" w:cs="Arial"/>
          <w:lang w:val="en-IE"/>
        </w:rPr>
        <w:t>statutaire) vestigingsplaats</w:t>
      </w:r>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naam verkrijgende icbe</w:t>
      </w:r>
      <w:r w:rsidRPr="00B44169">
        <w:rPr>
          <w:rFonts w:cs="Arial"/>
          <w:bCs/>
          <w:iCs/>
          <w:kern w:val="32"/>
        </w:rPr>
        <w:t xml:space="preserve">) </w:t>
      </w:r>
      <w:r w:rsidRPr="00B44169">
        <w:rPr>
          <w:rFonts w:eastAsia="Calibri" w:cs="Arial"/>
        </w:rPr>
        <w:t xml:space="preserve">based in... </w:t>
      </w:r>
      <w:r w:rsidRPr="00DA4638">
        <w:rPr>
          <w:rFonts w:eastAsia="Calibri" w:cs="Arial"/>
          <w:lang w:val="en-US"/>
        </w:rPr>
        <w:t>((</w:t>
      </w:r>
      <w:r w:rsidRPr="00B44169">
        <w:rPr>
          <w:rFonts w:eastAsia="Calibri" w:cs="Arial"/>
          <w:lang w:val="en-IE"/>
        </w:rPr>
        <w:t>statutaire) vestigingsplaats</w:t>
      </w:r>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r w:rsidRPr="00B44169">
        <w:rPr>
          <w:rFonts w:cs="Arial"/>
          <w:bCs/>
          <w:iCs/>
          <w:kern w:val="32"/>
          <w:lang w:val="en-US"/>
        </w:rPr>
        <w:t>verantwoording van de beheerder</w:t>
      </w:r>
      <w:r>
        <w:rPr>
          <w:rFonts w:cs="Arial"/>
          <w:bCs/>
          <w:iCs/>
          <w:kern w:val="32"/>
          <w:lang w:val="en-US"/>
        </w:rPr>
        <w:t>) as at … (</w:t>
      </w:r>
      <w:r w:rsidRPr="00B44169">
        <w:rPr>
          <w:rFonts w:cs="Arial"/>
          <w:bCs/>
          <w:iCs/>
          <w:kern w:val="32"/>
          <w:lang w:val="en-US"/>
        </w:rPr>
        <w:t>datum waarop de fusie van kracht wordt</w:t>
      </w:r>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 xml:space="preserve">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naam verdwijnende icbe) and … (naam verkrijgende icbe</w:t>
      </w:r>
      <w:r w:rsidRPr="001D74E1">
        <w:rPr>
          <w:rFonts w:cs="Arial"/>
          <w:bCs/>
          <w:iCs/>
          <w:kern w:val="32"/>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waarop de fusie van kracht wordt)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Autoriteit Financiële Markten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Wet op het financieel toezicht</w:t>
      </w:r>
      <w:r>
        <w:rPr>
          <w:rFonts w:cs="Arial"/>
          <w:bCs/>
          <w:iCs/>
          <w:kern w:val="32"/>
          <w:lang w:val="en-GB"/>
        </w:rPr>
        <w:t xml:space="preserve"> (Wft,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and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Our examination has been performed with a high, but not absolute, level of assurance, which means we may not detect all material errors and fraud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r w:rsidRPr="00B44169">
        <w:rPr>
          <w:rFonts w:cs="Arial"/>
          <w:lang w:val="en-IE" w:eastAsia="en-US"/>
        </w:rPr>
        <w:t>Nadere voorschriften kwaliteitssystemen’</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 error</w:t>
      </w:r>
      <w:r>
        <w:rPr>
          <w:rFonts w:cs="Arial"/>
          <w:lang w:val="en-US" w:eastAsia="en-US"/>
        </w:rPr>
        <w:t>s</w:t>
      </w:r>
      <w:r w:rsidRPr="00397D20">
        <w:rPr>
          <w:rFonts w:cs="Arial"/>
          <w:lang w:val="en-US" w:eastAsia="en-US"/>
        </w:rPr>
        <w:t xml:space="preserve"> or fraud,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lastRenderedPageBreak/>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1"/>
      <w:bookmarkEnd w:id="252"/>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7" w:name="_Toc53399372"/>
      <w:bookmarkStart w:id="258" w:name="_Toc111791886"/>
      <w:bookmarkStart w:id="259" w:name="_Toc111798543"/>
      <w:bookmarkStart w:id="260" w:name="_Toc111798875"/>
      <w:bookmarkStart w:id="261" w:name="_Toc183503423"/>
      <w:r w:rsidRPr="00C2635D">
        <w:t>15 </w:t>
      </w:r>
      <w:r w:rsidR="00027651" w:rsidRPr="00C2635D">
        <w:t>Rapportages</w:t>
      </w:r>
      <w:r w:rsidRPr="00C2635D">
        <w:t xml:space="preserve"> in relatie tot prospectussen</w:t>
      </w:r>
      <w:bookmarkEnd w:id="257"/>
      <w:bookmarkEnd w:id="258"/>
      <w:bookmarkEnd w:id="259"/>
      <w:bookmarkEnd w:id="260"/>
      <w:bookmarkEnd w:id="261"/>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2" w:name="_Toc53399373"/>
      <w:bookmarkStart w:id="263" w:name="_Toc111791887"/>
      <w:bookmarkStart w:id="264" w:name="_Toc111798544"/>
      <w:bookmarkStart w:id="265" w:name="_Toc111798876"/>
      <w:bookmarkStart w:id="266" w:name="_Toc183503424"/>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3"/>
      </w:r>
      <w:bookmarkEnd w:id="262"/>
      <w:bookmarkEnd w:id="263"/>
      <w:bookmarkEnd w:id="264"/>
      <w:bookmarkEnd w:id="265"/>
      <w:bookmarkEnd w:id="266"/>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 xml:space="preserve">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(‘general purpose’) in overeenstemming met (EU-)IFRS, wordt voor opname in het prospectus opgestelde historische financiële informatie (‘special purpose’)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‘general purpose financial statements’ in IAS 1 (maart 2006)</w:t>
      </w:r>
      <w:r w:rsidRPr="009703FE">
        <w:rPr>
          <w:rFonts w:cs="Arial"/>
          <w:lang w:eastAsia="en-US"/>
        </w:rPr>
        <w:t xml:space="preserve">. Het ‘special purpose’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purpose’ historische financiële informatie is opgesteld in overeenstemming met (EU-)IFRS, ondanks dat voor het oudste van de 3 jaren geen vergelijkende cijfers zijn opgenomen en ongeacht of IFRS 1 wordt toegepast. De ‘special purpose’ historische financiële informatie voldoet namelijk aan de doelstelling van IAS 1 en het conceptual framework voor vergelijkbaarheid. </w:t>
      </w:r>
      <w:r w:rsidRPr="0031292E">
        <w:rPr>
          <w:rFonts w:cs="Arial"/>
          <w:lang w:val="en-US" w:eastAsia="en-US"/>
        </w:rPr>
        <w:t>Dit is in lijn met US GAAP die het systeem van ‘vergelijkende financiële overzichten’ kent en in lijn met UK GAAP waarin hieromtrent specifiek is bepaald (Financial Reporting Standard, paragraaf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r w:rsidR="00BA09E0" w:rsidRPr="00CC7734">
        <w:rPr>
          <w:rFonts w:cs="Arial"/>
          <w:b/>
          <w:bCs/>
          <w:i/>
          <w:iCs/>
          <w:lang w:val="en-US" w:eastAsia="en-US"/>
        </w:rPr>
        <w:t xml:space="preserve">Indien </w:t>
      </w:r>
      <w:r w:rsidR="00BA09E0" w:rsidRPr="00CC7734">
        <w:rPr>
          <w:rFonts w:cs="Arial"/>
          <w:b/>
          <w:bCs/>
          <w:i/>
          <w:iCs/>
          <w:lang w:val="en-US" w:eastAsia="en-US"/>
        </w:rPr>
        <w:lastRenderedPageBreak/>
        <w:t>van toepassing</w:t>
      </w:r>
      <w:r w:rsidR="00BA09E0">
        <w:rPr>
          <w:rStyle w:val="Voetnootmarkering"/>
          <w:rFonts w:cs="Arial"/>
          <w:b/>
          <w:bCs/>
          <w:i/>
          <w:iCs/>
          <w:lang w:val="en-US" w:eastAsia="en-US"/>
        </w:rPr>
        <w:footnoteReference w:id="254"/>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 xml:space="preserve">(statutaire) </w:t>
      </w:r>
      <w:r w:rsidR="001E5BD2" w:rsidRPr="00C2635D">
        <w:rPr>
          <w:rFonts w:cs="Arial"/>
          <w:lang w:val="en-US" w:eastAsia="en-US"/>
        </w:rPr>
        <w:t>vestigingsplaats)</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5"/>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6"/>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(naam entiteit(en))</w:t>
      </w:r>
      <w:r w:rsidRPr="00C2635D">
        <w:rPr>
          <w:rFonts w:cs="Arial"/>
          <w:bCs/>
          <w:lang w:val="en-GB" w:eastAsia="en-US"/>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Emphasis of matter – passende titel kiezen</w:t>
      </w:r>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7"/>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8"/>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geval van </w:t>
      </w:r>
      <w:r w:rsidRPr="00CC7734">
        <w:rPr>
          <w:rFonts w:cs="Arial"/>
          <w:b/>
          <w:bCs/>
          <w:i/>
          <w:iCs/>
          <w:lang w:val="en-US" w:eastAsia="en-US"/>
        </w:rPr>
        <w:t>aangepaste</w:t>
      </w:r>
      <w:r w:rsidRPr="00CC7734">
        <w:rPr>
          <w:rFonts w:cs="Arial"/>
          <w:i/>
          <w:iCs/>
          <w:lang w:val="en-US" w:eastAsia="en-US"/>
        </w:rPr>
        <w:t xml:space="preserve"> historische financiële informatie</w:t>
      </w:r>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In geval van historische financiële informatie</w:t>
      </w:r>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9"/>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of andere aanduiding, bijvoorbeeld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60"/>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1"/>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and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777777" w:rsidR="002300F5" w:rsidRDefault="00064FE5" w:rsidP="001A439A">
      <w:pPr>
        <w:widowControl w:val="0"/>
        <w:shd w:val="clear" w:color="auto" w:fill="FFFFFF"/>
        <w:rPr>
          <w:rFonts w:cs="Arial"/>
          <w:lang w:val="en-US" w:eastAsia="en-US"/>
        </w:rPr>
      </w:pPr>
      <w:r w:rsidRPr="00C2635D">
        <w:rPr>
          <w:rFonts w:cs="Arial"/>
          <w:lang w:val="en-US" w:eastAsia="en-US"/>
        </w:rPr>
        <w:t>Our audit has been performed with a high, but not absolute, level of assurance, which means we may not detect all material errors and fraud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2"/>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scepticism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GB" w:eastAsia="en-US"/>
        </w:rPr>
        <w:t>i</w:t>
      </w:r>
      <w:r w:rsidR="00064FE5" w:rsidRPr="00C2635D">
        <w:rPr>
          <w:rFonts w:cs="Arial"/>
          <w:lang w:val="en-US" w:eastAsia="en-US"/>
        </w:rPr>
        <w:t>dentifying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3"/>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77777777" w:rsidR="00064FE5" w:rsidRPr="00C2635D" w:rsidRDefault="00064FE5" w:rsidP="001A439A">
      <w:pPr>
        <w:widowControl w:val="0"/>
        <w:rPr>
          <w:rFonts w:cs="Arial"/>
          <w:lang w:val="en-US" w:eastAsia="en-US"/>
        </w:rPr>
      </w:pPr>
      <w:r w:rsidRPr="00C2635D">
        <w:rPr>
          <w:rFonts w:cs="Arial"/>
          <w:lang w:val="en-US" w:eastAsia="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C2635D">
        <w:rPr>
          <w:rFonts w:cs="Arial"/>
          <w:vertAlign w:val="superscript"/>
          <w:lang w:val="en-US" w:eastAsia="en-US"/>
        </w:rPr>
        <w:footnoteReference w:id="264"/>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5"/>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7" w:name="_Toc53399374"/>
      <w:bookmarkStart w:id="268" w:name="_Toc111791888"/>
      <w:bookmarkStart w:id="269" w:name="_Toc111798545"/>
      <w:bookmarkStart w:id="270" w:name="_Toc111798877"/>
      <w:bookmarkStart w:id="271" w:name="_Toc183503425"/>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7"/>
      <w:bookmarkEnd w:id="268"/>
      <w:bookmarkEnd w:id="269"/>
      <w:bookmarkEnd w:id="270"/>
      <w:bookmarkEnd w:id="271"/>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7777777" w:rsidR="00064FE5" w:rsidRPr="00C2635D" w:rsidRDefault="00064FE5" w:rsidP="00A71A67">
      <w:pPr>
        <w:pStyle w:val="Kop2"/>
      </w:pPr>
      <w:bookmarkStart w:id="272" w:name="_Toc413836813"/>
      <w:bookmarkStart w:id="273" w:name="_Toc413837132"/>
      <w:bookmarkStart w:id="274" w:name="_Toc413837904"/>
      <w:bookmarkStart w:id="275" w:name="_Toc477946809"/>
      <w:bookmarkStart w:id="276" w:name="_Toc53399375"/>
      <w:bookmarkStart w:id="277" w:name="_Toc111791889"/>
      <w:bookmarkStart w:id="278" w:name="_Toc111798546"/>
      <w:bookmarkStart w:id="279" w:name="_Toc111798878"/>
      <w:bookmarkStart w:id="280" w:name="_Toc183503426"/>
      <w:r w:rsidRPr="00C2635D">
        <w:lastRenderedPageBreak/>
        <w:t>15.4 Assurance-rapport van een onafhankelijke accountant over het opstellen van pro forma financiële informatie die in een prospectus is opgenomen</w:t>
      </w:r>
      <w:bookmarkEnd w:id="272"/>
      <w:bookmarkEnd w:id="273"/>
      <w:bookmarkEnd w:id="274"/>
      <w:bookmarkEnd w:id="275"/>
      <w:bookmarkEnd w:id="276"/>
      <w:bookmarkEnd w:id="277"/>
      <w:bookmarkEnd w:id="278"/>
      <w:bookmarkEnd w:id="279"/>
      <w:bookmarkEnd w:id="280"/>
    </w:p>
    <w:p w14:paraId="32A1F1F2" w14:textId="77777777" w:rsidR="0002181D" w:rsidRPr="00C2635D" w:rsidRDefault="0002181D" w:rsidP="001A439A">
      <w:pPr>
        <w:widowControl w:val="0"/>
        <w:pBdr>
          <w:bottom w:val="single" w:sz="4" w:space="0" w:color="auto"/>
        </w:pBdr>
        <w:rPr>
          <w:rFonts w:cs="Arial"/>
          <w:lang w:eastAsia="en-US"/>
        </w:rPr>
      </w:pPr>
    </w:p>
    <w:p w14:paraId="09CB8CB6" w14:textId="77777777" w:rsidR="0002181D" w:rsidRPr="00C2635D" w:rsidRDefault="0002181D" w:rsidP="001A439A">
      <w:pPr>
        <w:widowControl w:val="0"/>
        <w:rPr>
          <w:rFonts w:eastAsia="ScalaSans-Regular" w:cs="Arial"/>
          <w:lang w:eastAsia="en-US"/>
        </w:rPr>
      </w:pPr>
    </w:p>
    <w:p w14:paraId="60E1D3A5" w14:textId="77777777" w:rsidR="001A6D8E" w:rsidRPr="00C2635D" w:rsidRDefault="001A6D8E" w:rsidP="001A439A">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2813D41" w14:textId="77777777" w:rsidR="001A6D8E" w:rsidRPr="00C2635D" w:rsidRDefault="001A6D8E" w:rsidP="001A439A">
      <w:pPr>
        <w:widowControl w:val="0"/>
        <w:rPr>
          <w:rFonts w:cs="Arial"/>
          <w:lang w:val="en-GB" w:eastAsia="en-US"/>
        </w:rPr>
      </w:pPr>
    </w:p>
    <w:p w14:paraId="4317B80F" w14:textId="77777777" w:rsidR="001A6D8E" w:rsidRPr="00C2635D" w:rsidRDefault="001A6D8E" w:rsidP="001A439A">
      <w:pPr>
        <w:widowControl w:val="0"/>
        <w:rPr>
          <w:rFonts w:cs="Arial"/>
          <w:lang w:val="en-US" w:eastAsia="en-US"/>
        </w:rPr>
      </w:pPr>
      <w:r w:rsidRPr="00C2635D">
        <w:rPr>
          <w:rFonts w:cs="Arial"/>
          <w:lang w:val="en-US" w:eastAsia="en-US"/>
        </w:rPr>
        <w:t>To: Appropriate Addressee(s)</w:t>
      </w:r>
    </w:p>
    <w:p w14:paraId="7FFD024B" w14:textId="77777777" w:rsidR="001A6D8E" w:rsidRPr="00C2635D" w:rsidRDefault="001A6D8E" w:rsidP="001A439A">
      <w:pPr>
        <w:widowControl w:val="0"/>
        <w:rPr>
          <w:rFonts w:cs="Arial"/>
          <w:lang w:val="en-US"/>
        </w:rPr>
      </w:pPr>
    </w:p>
    <w:p w14:paraId="284DF833" w14:textId="77777777" w:rsidR="001A6D8E" w:rsidRPr="00C2635D" w:rsidRDefault="001A6D8E" w:rsidP="001A439A">
      <w:pPr>
        <w:widowControl w:val="0"/>
        <w:rPr>
          <w:rFonts w:cs="Arial"/>
          <w:lang w:val="en-US"/>
        </w:rPr>
      </w:pPr>
      <w:r w:rsidRPr="00C2635D">
        <w:rPr>
          <w:rFonts w:cs="Arial"/>
          <w:b/>
          <w:lang w:val="en-US"/>
        </w:rPr>
        <w:t>Our opinion</w:t>
      </w:r>
    </w:p>
    <w:p w14:paraId="5237873B" w14:textId="77777777" w:rsidR="001A6D8E" w:rsidRPr="00C2635D" w:rsidRDefault="001A6D8E" w:rsidP="001A439A">
      <w:pPr>
        <w:widowControl w:val="0"/>
        <w:rPr>
          <w:rFonts w:cs="Arial"/>
          <w:lang w:val="en-US" w:eastAsia="en-US"/>
        </w:rPr>
      </w:pPr>
      <w:r w:rsidRPr="00C2635D">
        <w:rPr>
          <w:rFonts w:cs="Arial"/>
          <w:lang w:val="en-GB" w:eastAsia="en-US"/>
        </w:rPr>
        <w:t xml:space="preserve">We have examined the compilation of the pro forma financial information of … (naam entiteit(en)) (‘the Company’) based in … ((statutaire) vestigingsplaats), included [on page / section of] [in] the prospectus dated … (datum) of the Company [for … </w:t>
      </w:r>
      <w:r w:rsidRPr="00C2635D">
        <w:rPr>
          <w:rFonts w:cs="Arial"/>
          <w:lang w:val="en-US" w:eastAsia="en-US"/>
        </w:rPr>
        <w:t>(verdere aanduiding transactie waarvoor het prospectus is opgesteld</w:t>
      </w:r>
      <w:r w:rsidRPr="00C2635D">
        <w:rPr>
          <w:rStyle w:val="Voetnootmarkering"/>
          <w:rFonts w:cs="Arial"/>
          <w:lang w:val="en-GB" w:eastAsia="en-US"/>
        </w:rPr>
        <w:footnoteReference w:id="266"/>
      </w:r>
      <w:r w:rsidRPr="00C2635D">
        <w:rPr>
          <w:rFonts w:cs="Arial"/>
          <w:lang w:val="en-US" w:eastAsia="en-US"/>
        </w:rPr>
        <w:t>) (‘the Prospectus’).</w:t>
      </w:r>
    </w:p>
    <w:p w14:paraId="374BBFF2" w14:textId="77777777" w:rsidR="001A6D8E" w:rsidRPr="00C2635D" w:rsidRDefault="001A6D8E" w:rsidP="001A439A">
      <w:pPr>
        <w:widowControl w:val="0"/>
        <w:rPr>
          <w:rFonts w:cs="Arial"/>
          <w:lang w:val="en-US" w:eastAsia="en-US"/>
        </w:rPr>
      </w:pPr>
    </w:p>
    <w:p w14:paraId="700F74C3" w14:textId="77777777" w:rsidR="001A6D8E" w:rsidRPr="00C2635D" w:rsidRDefault="001A6D8E" w:rsidP="001A439A">
      <w:pPr>
        <w:widowControl w:val="0"/>
        <w:rPr>
          <w:rFonts w:cs="Arial"/>
          <w:lang w:val="en-US"/>
        </w:rPr>
      </w:pPr>
      <w:r w:rsidRPr="00C2635D">
        <w:rPr>
          <w:rFonts w:cs="Arial"/>
          <w:lang w:val="en-US"/>
        </w:rPr>
        <w:t>In our opinion:</w:t>
      </w:r>
    </w:p>
    <w:p w14:paraId="1BFF527B"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2D0BF30E"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3E7826AB" w14:textId="77777777" w:rsidR="001A6D8E" w:rsidRPr="00C2635D" w:rsidRDefault="001A6D8E" w:rsidP="001A439A">
      <w:pPr>
        <w:widowControl w:val="0"/>
        <w:ind w:left="705" w:hanging="705"/>
        <w:rPr>
          <w:rFonts w:cs="Arial"/>
          <w:lang w:val="en-US"/>
        </w:rPr>
      </w:pPr>
    </w:p>
    <w:p w14:paraId="22704C02" w14:textId="77777777" w:rsidR="001A6D8E" w:rsidRPr="00C2635D" w:rsidRDefault="001A6D8E" w:rsidP="001A439A">
      <w:pPr>
        <w:widowControl w:val="0"/>
        <w:rPr>
          <w:rFonts w:cs="Arial"/>
          <w:lang w:val="en-US"/>
        </w:rPr>
      </w:pPr>
      <w:r w:rsidRPr="00C2635D">
        <w:rPr>
          <w:rFonts w:cs="Arial"/>
          <w:lang w:val="en-US"/>
        </w:rPr>
        <w:t>The pro forma financial information comprises</w:t>
      </w:r>
      <w:r w:rsidR="008602B9">
        <w:rPr>
          <w:rStyle w:val="Voetnootmarkering"/>
          <w:rFonts w:cs="Arial"/>
          <w:lang w:val="en-US"/>
        </w:rPr>
        <w:footnoteReference w:id="267"/>
      </w:r>
      <w:r w:rsidRPr="00C2635D">
        <w:rPr>
          <w:rFonts w:cs="Arial"/>
          <w:lang w:val="en-US"/>
        </w:rPr>
        <w:t xml:space="preserve"> [the pro forma statement of financial position as at </w:t>
      </w:r>
      <w:r w:rsidR="00297EF1" w:rsidRPr="00297EF1">
        <w:rPr>
          <w:rFonts w:cs="Arial"/>
          <w:lang w:val="en-US"/>
        </w:rPr>
        <w:t xml:space="preserve"> </w:t>
      </w:r>
      <w:r w:rsidR="00297EF1">
        <w:rPr>
          <w:rFonts w:cs="Arial"/>
          <w:lang w:val="en-US"/>
        </w:rPr>
        <w:t>31 December YYYY</w:t>
      </w:r>
      <w:r w:rsidRPr="00C2635D">
        <w:rPr>
          <w:rFonts w:cs="Arial"/>
          <w:lang w:val="en-US"/>
        </w:rPr>
        <w:t xml:space="preserve">], [the pro forma income statement for the </w:t>
      </w:r>
      <w:r w:rsidR="00297EF1">
        <w:rPr>
          <w:rFonts w:cs="Arial"/>
          <w:lang w:val="en-US"/>
        </w:rPr>
        <w:t xml:space="preserve">year </w:t>
      </w:r>
      <w:r w:rsidRPr="00C2635D">
        <w:rPr>
          <w:rFonts w:cs="Arial"/>
          <w:lang w:val="en-US"/>
        </w:rPr>
        <w:t xml:space="preserve">ended </w:t>
      </w:r>
      <w:r w:rsidR="00297EF1">
        <w:rPr>
          <w:rFonts w:cs="Arial"/>
          <w:lang w:val="en-US"/>
        </w:rPr>
        <w:t>31 December YYYY</w:t>
      </w:r>
      <w:r w:rsidRPr="00C2635D">
        <w:rPr>
          <w:rFonts w:cs="Arial"/>
          <w:lang w:val="en-US"/>
        </w:rPr>
        <w:t xml:space="preserve">] and related notes [as set out on pages xx–xx of the Prospectus]. </w:t>
      </w:r>
    </w:p>
    <w:p w14:paraId="4920B30E" w14:textId="77777777" w:rsidR="001A6D8E" w:rsidRPr="00C2635D" w:rsidRDefault="001A6D8E" w:rsidP="001A439A">
      <w:pPr>
        <w:widowControl w:val="0"/>
        <w:rPr>
          <w:rFonts w:cs="Arial"/>
          <w:b/>
          <w:lang w:val="en-US"/>
        </w:rPr>
      </w:pPr>
    </w:p>
    <w:p w14:paraId="0682011F" w14:textId="77777777" w:rsidR="001A6D8E" w:rsidRPr="00C2635D" w:rsidRDefault="001A6D8E" w:rsidP="001A439A">
      <w:pPr>
        <w:widowControl w:val="0"/>
        <w:rPr>
          <w:rFonts w:cs="Arial"/>
          <w:b/>
          <w:lang w:val="en-US"/>
        </w:rPr>
      </w:pPr>
      <w:r w:rsidRPr="00C2635D">
        <w:rPr>
          <w:rFonts w:cs="Arial"/>
          <w:b/>
          <w:lang w:val="en-US"/>
        </w:rPr>
        <w:t>Basis for our opinion</w:t>
      </w:r>
    </w:p>
    <w:p w14:paraId="4471BE5B" w14:textId="77777777" w:rsidR="001A6D8E" w:rsidRPr="00C2635D" w:rsidRDefault="001A6D8E" w:rsidP="001A439A">
      <w:pPr>
        <w:widowControl w:val="0"/>
        <w:rPr>
          <w:rFonts w:cs="Arial"/>
          <w:lang w:val="en-US"/>
        </w:rPr>
      </w:pPr>
      <w:r w:rsidRPr="00C2635D">
        <w:rPr>
          <w:rFonts w:cs="Arial"/>
          <w:lang w:val="en-GB" w:eastAsia="en-US"/>
        </w:rPr>
        <w:t xml:space="preserve">We conducted our examination in accordance with Dutch law, including the Dutch Standard 3420, ‘Assurance-opdrachten om te rapporteren over het opstellen van pro forma financiële informatie die in een prospectus is opgenomen‘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5AA07675" w14:textId="77777777" w:rsidR="001A6D8E" w:rsidRPr="00C2635D" w:rsidRDefault="001A6D8E" w:rsidP="001A439A">
      <w:pPr>
        <w:widowControl w:val="0"/>
        <w:rPr>
          <w:rFonts w:cs="Arial"/>
          <w:lang w:val="en-GB"/>
        </w:rPr>
      </w:pPr>
    </w:p>
    <w:p w14:paraId="58ED58B2" w14:textId="77777777" w:rsidR="001A6D8E" w:rsidRPr="00C2635D" w:rsidRDefault="001A6D8E" w:rsidP="001A439A">
      <w:pPr>
        <w:widowControl w:val="0"/>
        <w:rPr>
          <w:rFonts w:cs="Arial"/>
          <w:lang w:val="en-GB"/>
        </w:rPr>
      </w:pPr>
      <w:r w:rsidRPr="00C2635D">
        <w:rPr>
          <w:rFonts w:cs="Arial"/>
          <w:lang w:val="en-GB"/>
        </w:rPr>
        <w:t>We are independent of … (naam entiteit(en))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EF5E76">
        <w:rPr>
          <w:rFonts w:cs="Arial"/>
          <w:lang w:val="en-GB"/>
        </w:rPr>
        <w:t>P</w:t>
      </w:r>
      <w:r w:rsidR="00B4370E" w:rsidRPr="00B4370E">
        <w:rPr>
          <w:rFonts w:cs="Arial"/>
          <w:lang w:val="en-GB"/>
        </w:rPr>
        <w:t xml:space="preserve">rofessional </w:t>
      </w:r>
      <w:r w:rsidR="00EF5E76">
        <w:rPr>
          <w:rFonts w:cs="Arial"/>
          <w:lang w:val="en-GB"/>
        </w:rPr>
        <w:t>A</w:t>
      </w:r>
      <w:r w:rsidR="00B4370E" w:rsidRPr="00B4370E">
        <w:rPr>
          <w:rFonts w:cs="Arial"/>
          <w:lang w:val="en-GB"/>
        </w:rPr>
        <w:t>ccountants</w:t>
      </w:r>
      <w:r w:rsidRPr="00C2635D">
        <w:rPr>
          <w:rFonts w:cs="Arial"/>
          <w:lang w:val="en-GB"/>
        </w:rPr>
        <w:t>).</w:t>
      </w:r>
    </w:p>
    <w:p w14:paraId="2470779D" w14:textId="77777777" w:rsidR="001A6D8E" w:rsidRPr="00C2635D" w:rsidRDefault="001A6D8E" w:rsidP="001A439A">
      <w:pPr>
        <w:widowControl w:val="0"/>
        <w:rPr>
          <w:rFonts w:cs="Arial"/>
          <w:lang w:val="en-GB"/>
        </w:rPr>
      </w:pPr>
    </w:p>
    <w:p w14:paraId="09A97870" w14:textId="77777777" w:rsidR="001A6D8E" w:rsidRPr="00C2635D" w:rsidRDefault="001A6D8E" w:rsidP="001A439A">
      <w:pPr>
        <w:widowControl w:val="0"/>
        <w:rPr>
          <w:rFonts w:cs="Arial"/>
          <w:lang w:val="en-US"/>
        </w:rPr>
      </w:pPr>
      <w:r w:rsidRPr="00C2635D">
        <w:rPr>
          <w:rFonts w:cs="Arial"/>
          <w:lang w:val="en-US"/>
        </w:rPr>
        <w:t>We believe that the assurance evidence we have obtained is sufficient and appropriate to provide a basis for our opinion.</w:t>
      </w:r>
    </w:p>
    <w:p w14:paraId="457E0F38" w14:textId="77777777" w:rsidR="001A6D8E" w:rsidRPr="00C2635D" w:rsidRDefault="001A6D8E" w:rsidP="001A439A">
      <w:pPr>
        <w:widowControl w:val="0"/>
        <w:rPr>
          <w:rFonts w:cs="Arial"/>
          <w:b/>
          <w:lang w:val="en-US"/>
        </w:rPr>
      </w:pPr>
    </w:p>
    <w:p w14:paraId="101AA978" w14:textId="77777777" w:rsidR="001A6D8E" w:rsidRPr="00C2635D" w:rsidRDefault="001A6D8E" w:rsidP="001A439A">
      <w:pPr>
        <w:widowControl w:val="0"/>
        <w:rPr>
          <w:rFonts w:cs="Arial"/>
          <w:lang w:val="en-US"/>
        </w:rPr>
      </w:pPr>
      <w:r w:rsidRPr="00C2635D">
        <w:rPr>
          <w:rFonts w:cs="Arial"/>
          <w:b/>
          <w:lang w:val="en-US"/>
        </w:rPr>
        <w:t>Applicable criteria</w:t>
      </w:r>
    </w:p>
    <w:p w14:paraId="69E41710" w14:textId="77777777" w:rsidR="001A6D8E" w:rsidRPr="00C2635D" w:rsidRDefault="001A6D8E" w:rsidP="001A439A">
      <w:pPr>
        <w:widowControl w:val="0"/>
        <w:rPr>
          <w:rFonts w:cs="Arial"/>
          <w:lang w:val="en-US"/>
        </w:rPr>
      </w:pPr>
      <w:r w:rsidRPr="00C2635D">
        <w:rPr>
          <w:rFonts w:cs="Arial"/>
          <w:lang w:val="en-US"/>
        </w:rPr>
        <w:t>For this engagement, the following criteria apply:</w:t>
      </w:r>
    </w:p>
    <w:p w14:paraId="6E55C309"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Commission</w:t>
      </w:r>
      <w:r w:rsidR="008602B9">
        <w:rPr>
          <w:rFonts w:cs="Arial"/>
          <w:lang w:val="en-US"/>
        </w:rPr>
        <w:t xml:space="preserve"> Delegated</w:t>
      </w:r>
      <w:r w:rsidRPr="00C2635D">
        <w:rPr>
          <w:rFonts w:cs="Arial"/>
          <w:lang w:val="en-US"/>
        </w:rPr>
        <w:t xml:space="preserve"> Regulation (E</w:t>
      </w:r>
      <w:r w:rsidR="008602B9">
        <w:rPr>
          <w:rFonts w:cs="Arial"/>
          <w:lang w:val="en-US"/>
        </w:rPr>
        <w:t>U</w:t>
      </w:r>
      <w:r w:rsidRPr="00C2635D">
        <w:rPr>
          <w:rFonts w:cs="Arial"/>
          <w:lang w:val="en-US"/>
        </w:rPr>
        <w:t xml:space="preserve">) </w:t>
      </w:r>
      <w:r w:rsidR="002C56C8">
        <w:rPr>
          <w:rFonts w:cs="Arial"/>
          <w:lang w:val="en-US"/>
        </w:rPr>
        <w:t xml:space="preserve">2019/980 </w:t>
      </w:r>
      <w:r w:rsidRPr="00C2635D">
        <w:rPr>
          <w:rFonts w:cs="Arial"/>
          <w:lang w:val="en-US"/>
        </w:rPr>
        <w:t>to the proper compilation of the pro forma financial information and the consistency of accounting policies; and</w:t>
      </w:r>
    </w:p>
    <w:p w14:paraId="6B2824A2"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7E123822" w14:textId="77777777" w:rsidR="001A6D8E" w:rsidRPr="00C2635D" w:rsidRDefault="001A6D8E" w:rsidP="001A439A">
      <w:pPr>
        <w:widowControl w:val="0"/>
        <w:rPr>
          <w:rFonts w:cs="Arial"/>
          <w:lang w:val="en-US"/>
        </w:rPr>
      </w:pPr>
    </w:p>
    <w:p w14:paraId="1C00761A" w14:textId="77777777" w:rsidR="001A6D8E" w:rsidRPr="00C2635D" w:rsidRDefault="001A6D8E" w:rsidP="001A439A">
      <w:pPr>
        <w:widowControl w:val="0"/>
        <w:rPr>
          <w:rFonts w:cs="Arial"/>
          <w:lang w:val="en-US"/>
        </w:rPr>
      </w:pPr>
      <w:r w:rsidRPr="00C2635D">
        <w:rPr>
          <w:rFonts w:cs="Arial"/>
          <w:b/>
          <w:lang w:val="en-US"/>
        </w:rPr>
        <w:t xml:space="preserve">Relevant matters relating to the scope of our examination </w:t>
      </w:r>
    </w:p>
    <w:p w14:paraId="58BF7FC3" w14:textId="77777777" w:rsidR="001A6D8E" w:rsidRPr="00C2635D" w:rsidRDefault="001A6D8E" w:rsidP="001A439A">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45953E25" w14:textId="77777777" w:rsidR="001A6D8E" w:rsidRPr="00C2635D" w:rsidRDefault="001A6D8E" w:rsidP="001A439A">
      <w:pPr>
        <w:widowControl w:val="0"/>
        <w:rPr>
          <w:rFonts w:cs="Arial"/>
          <w:lang w:val="en-GB" w:eastAsia="en-US"/>
        </w:rPr>
      </w:pPr>
    </w:p>
    <w:p w14:paraId="097DF746" w14:textId="77777777" w:rsidR="001A6D8E" w:rsidRPr="00C2635D" w:rsidRDefault="001A6D8E" w:rsidP="001A439A">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sidR="002C56C8">
        <w:rPr>
          <w:rFonts w:cs="Arial"/>
          <w:lang w:val="en-GB" w:eastAsia="en-US"/>
        </w:rPr>
        <w:t>1 January YYYY</w:t>
      </w:r>
      <w:r w:rsidR="002C56C8">
        <w:rPr>
          <w:rStyle w:val="Voetnootmarkering"/>
          <w:rFonts w:cs="Arial"/>
          <w:lang w:val="en-GB" w:eastAsia="en-US"/>
        </w:rPr>
        <w:footnoteReference w:id="268"/>
      </w:r>
      <w:r w:rsidR="002C56C8">
        <w:rPr>
          <w:rFonts w:cs="Arial"/>
          <w:lang w:val="en-GB" w:eastAsia="en-US"/>
        </w:rPr>
        <w:t xml:space="preserve"> for the </w:t>
      </w:r>
      <w:r w:rsidR="002C56C8" w:rsidRPr="002C56C8">
        <w:rPr>
          <w:rFonts w:cs="Arial"/>
          <w:lang w:val="en-GB" w:eastAsia="en-US"/>
        </w:rPr>
        <w:t xml:space="preserve">[(consolidated) income statement] for the year ended 31 December </w:t>
      </w:r>
      <w:r w:rsidR="002C56C8">
        <w:rPr>
          <w:rFonts w:cs="Arial"/>
          <w:lang w:val="en-GB" w:eastAsia="en-US"/>
        </w:rPr>
        <w:t>YYYY</w:t>
      </w:r>
      <w:r w:rsidR="002C56C8" w:rsidRPr="002C56C8">
        <w:rPr>
          <w:rFonts w:cs="Arial"/>
          <w:lang w:val="en-GB" w:eastAsia="en-US"/>
        </w:rPr>
        <w:t xml:space="preserve"> and at 31 December</w:t>
      </w:r>
      <w:r w:rsidR="002C56C8">
        <w:rPr>
          <w:rFonts w:cs="Arial"/>
          <w:lang w:val="en-GB" w:eastAsia="en-US"/>
        </w:rPr>
        <w:t xml:space="preserve"> YYYY</w:t>
      </w:r>
      <w:r w:rsidR="002C56C8">
        <w:rPr>
          <w:rStyle w:val="Voetnootmarkering"/>
          <w:rFonts w:cs="Arial"/>
          <w:lang w:val="en-GB" w:eastAsia="en-US"/>
        </w:rPr>
        <w:footnoteReference w:id="269"/>
      </w:r>
      <w:r w:rsidR="002C56C8" w:rsidRPr="0057200E">
        <w:rPr>
          <w:lang w:val="en-GB"/>
        </w:rPr>
        <w:t xml:space="preserve"> </w:t>
      </w:r>
      <w:r w:rsidR="002C56C8" w:rsidRPr="002C56C8">
        <w:rPr>
          <w:rFonts w:cs="Arial"/>
          <w:lang w:val="en-GB" w:eastAsia="en-US"/>
        </w:rPr>
        <w:t>for the [(consolidated) statement of financial position] as at 31 December</w:t>
      </w:r>
      <w:r w:rsidR="002C56C8">
        <w:rPr>
          <w:rFonts w:cs="Arial"/>
          <w:lang w:val="en-GB" w:eastAsia="en-US"/>
        </w:rPr>
        <w:t xml:space="preserve"> YYYY </w:t>
      </w:r>
      <w:r w:rsidRPr="00C2635D">
        <w:rPr>
          <w:rFonts w:cs="Arial"/>
          <w:lang w:val="en-GB" w:eastAsia="en-US"/>
        </w:rPr>
        <w:t>would have been as presented.</w:t>
      </w:r>
      <w:r w:rsidR="00022662">
        <w:rPr>
          <w:rFonts w:cs="Arial"/>
          <w:lang w:val="en-GB" w:eastAsia="en-US"/>
        </w:rPr>
        <w:t xml:space="preserve"> </w:t>
      </w:r>
      <w:r w:rsidRPr="00C2635D">
        <w:rPr>
          <w:rFonts w:cs="Arial"/>
          <w:lang w:val="en-GB" w:eastAsia="en-US"/>
        </w:rPr>
        <w:t>Our opinion is not modified in respect of these matters.</w:t>
      </w:r>
    </w:p>
    <w:p w14:paraId="4083E623" w14:textId="77777777" w:rsidR="001A6D8E" w:rsidRPr="00C2635D" w:rsidRDefault="001A6D8E" w:rsidP="001A439A">
      <w:pPr>
        <w:widowControl w:val="0"/>
        <w:rPr>
          <w:rFonts w:cs="Arial"/>
          <w:b/>
          <w:lang w:val="en-US"/>
        </w:rPr>
      </w:pPr>
    </w:p>
    <w:p w14:paraId="1F209EEA" w14:textId="77777777" w:rsidR="001A6D8E" w:rsidRPr="00C2635D" w:rsidRDefault="001A6D8E" w:rsidP="001A439A">
      <w:pPr>
        <w:widowControl w:val="0"/>
        <w:rPr>
          <w:rFonts w:cs="Arial"/>
          <w:b/>
          <w:lang w:val="en-US"/>
        </w:rPr>
      </w:pPr>
      <w:r w:rsidRPr="00C2635D">
        <w:rPr>
          <w:rFonts w:cs="Arial"/>
          <w:b/>
          <w:lang w:val="en-US"/>
        </w:rPr>
        <w:t>Restriction on use</w:t>
      </w:r>
    </w:p>
    <w:p w14:paraId="417D3473" w14:textId="77777777" w:rsidR="001A6D8E" w:rsidRPr="00C2635D" w:rsidRDefault="001A6D8E" w:rsidP="001A439A">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sidR="00C54BD6">
        <w:rPr>
          <w:rFonts w:cs="Arial"/>
          <w:lang w:val="en-US"/>
        </w:rPr>
        <w:t xml:space="preserve"> Delegated</w:t>
      </w:r>
      <w:r w:rsidRPr="00C2635D">
        <w:rPr>
          <w:rFonts w:cs="Arial"/>
          <w:lang w:val="en-US"/>
        </w:rPr>
        <w:t xml:space="preserve"> Regulation (EC) No </w:t>
      </w:r>
      <w:r w:rsidR="00C54BD6">
        <w:rPr>
          <w:rFonts w:cs="Arial"/>
          <w:lang w:val="en-US"/>
        </w:rPr>
        <w:t xml:space="preserve">2019/980 </w:t>
      </w:r>
      <w:r w:rsidRPr="00C2635D">
        <w:rPr>
          <w:rFonts w:cs="Arial"/>
          <w:lang w:val="en-US"/>
        </w:rPr>
        <w:t xml:space="preserve">and is given for the purpose of complying with that </w:t>
      </w:r>
      <w:r w:rsidR="00C54BD6">
        <w:rPr>
          <w:rFonts w:cs="Arial"/>
          <w:lang w:val="en-US"/>
        </w:rPr>
        <w:t xml:space="preserve">Delegated </w:t>
      </w:r>
      <w:r w:rsidRPr="00C2635D">
        <w:rPr>
          <w:rFonts w:cs="Arial"/>
          <w:lang w:val="en-US"/>
        </w:rPr>
        <w:t>Regulation and inclusion in the Prospectus and for no other purpose.</w:t>
      </w:r>
    </w:p>
    <w:p w14:paraId="7B51F784" w14:textId="77777777" w:rsidR="001A6D8E" w:rsidRPr="00C2635D" w:rsidRDefault="001A6D8E" w:rsidP="001A439A">
      <w:pPr>
        <w:widowControl w:val="0"/>
        <w:rPr>
          <w:rFonts w:cs="Arial"/>
          <w:lang w:val="en-US"/>
        </w:rPr>
      </w:pPr>
    </w:p>
    <w:p w14:paraId="129177B2" w14:textId="77777777" w:rsidR="001A6D8E" w:rsidRPr="00C2635D" w:rsidRDefault="001A6D8E" w:rsidP="001A439A">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270"/>
      </w:r>
    </w:p>
    <w:p w14:paraId="71A99B23" w14:textId="77777777" w:rsidR="001A6D8E" w:rsidRPr="00C2635D" w:rsidRDefault="001A6D8E" w:rsidP="001A439A">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12B185C1" w14:textId="77777777" w:rsidR="001A6D8E" w:rsidRPr="00C2635D" w:rsidRDefault="001A6D8E" w:rsidP="001A439A">
      <w:pPr>
        <w:widowControl w:val="0"/>
        <w:rPr>
          <w:rFonts w:cs="Arial"/>
          <w:lang w:val="en-US"/>
        </w:rPr>
      </w:pPr>
    </w:p>
    <w:p w14:paraId="3F64F04A" w14:textId="77777777" w:rsidR="001A6D8E" w:rsidRPr="00C2635D" w:rsidRDefault="001A6D8E" w:rsidP="001A439A">
      <w:pPr>
        <w:widowControl w:val="0"/>
        <w:rPr>
          <w:rFonts w:cs="Arial"/>
          <w:lang w:val="en-US"/>
        </w:rPr>
      </w:pPr>
      <w:r w:rsidRPr="00C2635D">
        <w:rPr>
          <w:rFonts w:cs="Arial"/>
          <w:b/>
          <w:lang w:val="en-US"/>
        </w:rPr>
        <w:t>Our responsibilities for the examination of the compilation of the pro forma financial information</w:t>
      </w:r>
    </w:p>
    <w:p w14:paraId="1E63230C" w14:textId="77777777" w:rsidR="001A6D8E" w:rsidRPr="00C2635D" w:rsidRDefault="001A6D8E" w:rsidP="001A439A">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C4446DE" w14:textId="77777777" w:rsidR="001A6D8E" w:rsidRPr="00C2635D" w:rsidRDefault="001A6D8E" w:rsidP="001A439A">
      <w:pPr>
        <w:widowControl w:val="0"/>
        <w:rPr>
          <w:rFonts w:cs="Arial"/>
          <w:lang w:val="en-US" w:eastAsia="en-US"/>
        </w:rPr>
      </w:pPr>
    </w:p>
    <w:p w14:paraId="425FA5BD" w14:textId="77777777" w:rsidR="001A6D8E" w:rsidRPr="00C2635D" w:rsidRDefault="001A6D8E" w:rsidP="001A439A">
      <w:pPr>
        <w:widowControl w:val="0"/>
        <w:rPr>
          <w:rFonts w:cs="Arial"/>
          <w:lang w:val="en-GB"/>
        </w:rPr>
      </w:pPr>
      <w:r w:rsidRPr="00C2635D">
        <w:rPr>
          <w:rFonts w:cs="Arial"/>
          <w:lang w:val="en-GB"/>
        </w:rPr>
        <w:t xml:space="preserve">Our examination has been performed with a high, but not absolute, level of assurance, which means we may not </w:t>
      </w:r>
      <w:r w:rsidR="00C2600E" w:rsidRPr="00C2635D">
        <w:rPr>
          <w:rFonts w:cs="Arial"/>
          <w:lang w:val="en-GB"/>
        </w:rPr>
        <w:t>detect</w:t>
      </w:r>
      <w:r w:rsidRPr="00C2635D">
        <w:rPr>
          <w:rFonts w:cs="Arial"/>
          <w:lang w:val="en-GB"/>
        </w:rPr>
        <w:t xml:space="preserve"> all material errors and fraud.</w:t>
      </w:r>
    </w:p>
    <w:p w14:paraId="6A661D7F" w14:textId="77777777" w:rsidR="001A6D8E" w:rsidRPr="00C2635D" w:rsidRDefault="001A6D8E" w:rsidP="001A439A">
      <w:pPr>
        <w:widowControl w:val="0"/>
        <w:rPr>
          <w:rFonts w:cs="Arial"/>
          <w:lang w:val="en-GB"/>
        </w:rPr>
      </w:pPr>
    </w:p>
    <w:p w14:paraId="6A86892B" w14:textId="77777777" w:rsidR="001A6D8E" w:rsidRPr="00C2635D" w:rsidRDefault="001A6D8E" w:rsidP="001A439A">
      <w:pPr>
        <w:widowControl w:val="0"/>
        <w:rPr>
          <w:rFonts w:cs="Arial"/>
          <w:lang w:val="en-US"/>
        </w:rPr>
      </w:pPr>
      <w:r w:rsidRPr="00C2635D">
        <w:rPr>
          <w:rFonts w:cs="Arial"/>
          <w:lang w:val="en-GB"/>
        </w:rPr>
        <w:t xml:space="preserve">We apply the </w:t>
      </w:r>
      <w:r w:rsidR="00022662">
        <w:rPr>
          <w:rFonts w:cs="Arial"/>
          <w:lang w:val="en-GB"/>
        </w:rPr>
        <w:t>‘</w:t>
      </w:r>
      <w:r w:rsidRPr="00C2635D">
        <w:rPr>
          <w:rFonts w:cs="Arial"/>
          <w:lang w:val="en-GB"/>
        </w:rPr>
        <w:t>Nadere voorschriften kwaliteitssystemen</w:t>
      </w:r>
      <w:r w:rsidR="0008699C" w:rsidRPr="00C2635D">
        <w:rPr>
          <w:rFonts w:cs="Arial"/>
          <w:lang w:val="en-GB"/>
        </w:rPr>
        <w:t>’ (NVKS, regulations for q</w:t>
      </w:r>
      <w:r w:rsidRPr="00C2635D">
        <w:rPr>
          <w:rFonts w:cs="Arial"/>
          <w:lang w:val="en-GB"/>
        </w:rPr>
        <w:t xml:space="preserve">uality management systems) and accordingly maintain a comprehensive system of </w:t>
      </w:r>
      <w:r w:rsidR="00400FEF">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46493660" w14:textId="77777777" w:rsidR="001A6D8E" w:rsidRPr="00C2635D" w:rsidRDefault="001A6D8E" w:rsidP="001A439A">
      <w:pPr>
        <w:widowControl w:val="0"/>
        <w:rPr>
          <w:rFonts w:cs="Arial"/>
          <w:lang w:val="en-US"/>
        </w:rPr>
      </w:pPr>
    </w:p>
    <w:p w14:paraId="01B7CF1B" w14:textId="77777777" w:rsidR="001A6D8E" w:rsidRPr="00C2635D" w:rsidRDefault="001A6D8E" w:rsidP="001A439A">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271"/>
      </w:r>
      <w:r w:rsidRPr="00C2635D">
        <w:rPr>
          <w:rFonts w:cs="Arial"/>
          <w:lang w:val="en-US"/>
        </w:rPr>
        <w:t>:</w:t>
      </w:r>
    </w:p>
    <w:p w14:paraId="0390E434"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688F448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5B4400BD" w14:textId="77777777" w:rsidR="001A6D8E" w:rsidRPr="00C2635D" w:rsidRDefault="001A6D8E" w:rsidP="00FD0510">
      <w:pPr>
        <w:pStyle w:val="Lijstalinea"/>
        <w:widowControl w:val="0"/>
        <w:numPr>
          <w:ilvl w:val="0"/>
          <w:numId w:val="23"/>
        </w:numPr>
        <w:ind w:left="357" w:hanging="357"/>
        <w:rPr>
          <w:rFonts w:cs="Arial"/>
          <w:lang w:val="en-GB"/>
        </w:rPr>
      </w:pPr>
      <w:r w:rsidRPr="00C2635D">
        <w:rPr>
          <w:rFonts w:cs="Arial"/>
          <w:lang w:val="en-US"/>
        </w:rPr>
        <w:t>a</w:t>
      </w:r>
      <w:r w:rsidRPr="00C2635D">
        <w:rPr>
          <w:rFonts w:cs="Arial"/>
          <w:lang w:val="en-GB"/>
        </w:rPr>
        <w:t xml:space="preserve">ssessing whether the criteria applied by management in the compilation of the pro forma financial information provide a reasonable basis for presenting the significant effects directly attributable to </w:t>
      </w:r>
      <w:r w:rsidRPr="00C2635D">
        <w:rPr>
          <w:rFonts w:cs="Arial"/>
          <w:lang w:val="en-GB"/>
        </w:rPr>
        <w:lastRenderedPageBreak/>
        <w:t xml:space="preserve">the event or transaction, and to obtain sufficient and appropriate assurance-evidence about whether: </w:t>
      </w:r>
    </w:p>
    <w:p w14:paraId="5ADD3531" w14:textId="77777777" w:rsidR="001A6D8E" w:rsidRPr="00C2635D" w:rsidRDefault="001A6D8E" w:rsidP="00FD0510">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734E6D2B" w14:textId="77777777" w:rsidR="001A6D8E" w:rsidRPr="00C2635D" w:rsidRDefault="001A6D8E" w:rsidP="00FD0510">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22BEF8B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135771B3"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1CB199E0" w14:textId="77777777" w:rsidR="001A6D8E" w:rsidRPr="00C2635D" w:rsidRDefault="001A6D8E" w:rsidP="001A439A">
      <w:pPr>
        <w:widowControl w:val="0"/>
        <w:rPr>
          <w:rFonts w:cs="Arial"/>
          <w:lang w:val="en-GB" w:eastAsia="en-US"/>
        </w:rPr>
      </w:pPr>
    </w:p>
    <w:p w14:paraId="6468E28A" w14:textId="77777777" w:rsidR="001A6D8E" w:rsidRPr="00C2635D" w:rsidRDefault="001A6D8E" w:rsidP="001A439A">
      <w:pPr>
        <w:widowControl w:val="0"/>
        <w:rPr>
          <w:rFonts w:cs="Arial"/>
        </w:rPr>
      </w:pPr>
      <w:r w:rsidRPr="00C2635D">
        <w:rPr>
          <w:rFonts w:cs="Arial"/>
        </w:rPr>
        <w:t>Plaats en datum</w:t>
      </w:r>
    </w:p>
    <w:p w14:paraId="26C7C2DE" w14:textId="77777777" w:rsidR="001A6D8E" w:rsidRPr="00C2635D" w:rsidRDefault="001A6D8E" w:rsidP="001A439A">
      <w:pPr>
        <w:widowControl w:val="0"/>
        <w:rPr>
          <w:rFonts w:cs="Arial"/>
        </w:rPr>
      </w:pPr>
    </w:p>
    <w:p w14:paraId="588B865B" w14:textId="77777777" w:rsidR="001A6D8E" w:rsidRPr="00C2635D" w:rsidRDefault="001A6D8E" w:rsidP="001A439A">
      <w:pPr>
        <w:widowControl w:val="0"/>
        <w:rPr>
          <w:rFonts w:cs="Arial"/>
        </w:rPr>
      </w:pPr>
      <w:r w:rsidRPr="00C2635D">
        <w:rPr>
          <w:rFonts w:cs="Arial"/>
        </w:rPr>
        <w:t>... (naam accountantspraktijk)</w:t>
      </w:r>
    </w:p>
    <w:p w14:paraId="7BAE2460" w14:textId="77777777" w:rsidR="001A6D8E" w:rsidRPr="00C2635D" w:rsidRDefault="001A6D8E" w:rsidP="001A439A">
      <w:pPr>
        <w:widowControl w:val="0"/>
        <w:rPr>
          <w:rFonts w:cs="Arial"/>
        </w:rPr>
      </w:pPr>
    </w:p>
    <w:p w14:paraId="62B6767A" w14:textId="77777777" w:rsidR="00ED353E" w:rsidRPr="00C2635D" w:rsidRDefault="001A6D8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1" w:name="_Toc53399376"/>
      <w:bookmarkStart w:id="282" w:name="_Toc111791890"/>
      <w:bookmarkStart w:id="283" w:name="_Toc111798547"/>
      <w:bookmarkStart w:id="284" w:name="_Toc111798879"/>
      <w:bookmarkStart w:id="285" w:name="_Toc183503427"/>
      <w:r w:rsidRPr="00C2635D">
        <w:t>16 Inbrengverklaringen</w:t>
      </w:r>
      <w:bookmarkEnd w:id="281"/>
      <w:bookmarkEnd w:id="282"/>
      <w:bookmarkEnd w:id="283"/>
      <w:bookmarkEnd w:id="284"/>
      <w:bookmarkEnd w:id="285"/>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6" w:name="_Toc494959491"/>
      <w:bookmarkStart w:id="287" w:name="_Toc53399377"/>
      <w:bookmarkStart w:id="288" w:name="_Toc111791891"/>
      <w:bookmarkStart w:id="289" w:name="_Toc111798548"/>
      <w:bookmarkStart w:id="290" w:name="_Toc111798880"/>
      <w:bookmarkStart w:id="291" w:name="_Toc183503428"/>
      <w:r w:rsidRPr="00C2635D">
        <w:t>16.1 Controleverklaring betreffende voorgenomen inbreng op aandelen bij oprichting van een N.V. (artikel 2:94a lid 2 BW)</w:t>
      </w:r>
      <w:bookmarkEnd w:id="286"/>
      <w:bookmarkEnd w:id="287"/>
      <w:bookmarkEnd w:id="288"/>
      <w:bookmarkEnd w:id="289"/>
      <w:bookmarkEnd w:id="290"/>
      <w:bookmarkEnd w:id="291"/>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‘Other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vennootschap]</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by … (naam vennootschap) based in ... (vestigingsplaats)</w:t>
      </w:r>
      <w:r w:rsidR="00093169" w:rsidRPr="00C2635D">
        <w:rPr>
          <w:rStyle w:val="Voetnootmarkering"/>
          <w:rFonts w:cs="Arial"/>
        </w:rPr>
        <w:footnoteReference w:id="272"/>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In our opinion, applying valuation methods generally accepted in the Netherlands, the value of the proposed contribution in kind as included and disclosed in the accompanying description of the incorporator(s), dated … (datum ondertekening beschrijving), represented as at … (datum per welke de inbreng is gewaardeerd), was at least equal to the amount of the payment obligation amounting to € ... which the proposed contribution is required to meet. In the context of this contribution the share premium has [optioneel: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Basis for our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We are independent of the incorporator(s)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73"/>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77777777"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77777777"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74"/>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2" w:name="_Toc494959492"/>
    </w:p>
    <w:p w14:paraId="3B9AA9B7" w14:textId="77777777" w:rsidR="00277EC3" w:rsidRPr="00C2635D" w:rsidRDefault="00277EC3" w:rsidP="00A71A67">
      <w:pPr>
        <w:pStyle w:val="Kop2"/>
      </w:pPr>
      <w:bookmarkStart w:id="293" w:name="_Toc53399378"/>
      <w:bookmarkStart w:id="294" w:name="_Toc111791892"/>
      <w:bookmarkStart w:id="295" w:name="_Toc111798549"/>
      <w:bookmarkStart w:id="296" w:name="_Toc111798881"/>
      <w:bookmarkStart w:id="297" w:name="_Toc183503429"/>
      <w:r w:rsidRPr="00C2635D">
        <w:t>16.2 Controleverklaring betreffende voorgenomen inbreng op na oprichting uit te geven aandelen in een N.V. (artikel 2:94b lid 2 BW)</w:t>
      </w:r>
      <w:bookmarkEnd w:id="292"/>
      <w:bookmarkEnd w:id="293"/>
      <w:bookmarkEnd w:id="294"/>
      <w:bookmarkEnd w:id="295"/>
      <w:bookmarkEnd w:id="296"/>
      <w:bookmarkEnd w:id="297"/>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‘Other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the management of [naam vennootschap]</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75"/>
      </w:r>
      <w:r w:rsidR="004E7027" w:rsidRPr="00C2635D">
        <w:rPr>
          <w:rFonts w:cs="Arial"/>
          <w:lang w:val="en-GB"/>
        </w:rPr>
        <w:t xml:space="preserve"> … (naam vennootschap) based in ... (vestigingsplaats)</w:t>
      </w:r>
      <w:r w:rsidR="004E7027" w:rsidRPr="00C2635D">
        <w:rPr>
          <w:rStyle w:val="Voetnootmarkering"/>
          <w:rFonts w:cs="Arial"/>
        </w:rPr>
        <w:footnoteReference w:id="276"/>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In our opinion, applying valuation methods generally accepted in the Netherlands, the value of the proposed contribution in kind as included and disclosed in the accompanying description dated … (datum ondertekening beschrijving) of ... (naam vennootschap), represented as at … (datum per welke de inbreng is gewaardeerd), was at least equal to the amount of the payment obligation amounting to € ... which the proposed contribution is required to meet. In the context of this contribution the share premium has [</w:t>
      </w:r>
      <w:r w:rsidRPr="003D2518">
        <w:rPr>
          <w:rFonts w:cs="Arial"/>
          <w:b/>
          <w:bCs/>
          <w:i/>
          <w:iCs/>
          <w:lang w:val="en-GB"/>
        </w:rPr>
        <w:t>optioneel</w:t>
      </w:r>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Basis for our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7"/>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8"/>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77777777"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77777777"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 errors and fraud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9"/>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80"/>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81"/>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8" w:name="_Toc494959493"/>
    </w:p>
    <w:p w14:paraId="724FFFAB" w14:textId="77777777" w:rsidR="00277EC3" w:rsidRPr="00C2635D" w:rsidRDefault="00277EC3" w:rsidP="00A71A67">
      <w:pPr>
        <w:pStyle w:val="Kop2"/>
      </w:pPr>
      <w:bookmarkStart w:id="299" w:name="_Toc53399379"/>
      <w:bookmarkStart w:id="300" w:name="_Toc111791893"/>
      <w:bookmarkStart w:id="301" w:name="_Toc111798550"/>
      <w:bookmarkStart w:id="302" w:name="_Toc111798882"/>
      <w:bookmarkStart w:id="303" w:name="_Toc183503430"/>
      <w:r w:rsidRPr="00C2635D">
        <w:t>16.3 Controleverklaring betreffende de verkrijging door een N.V. van goederen van oprichters of aandeelhouders (Nachgründung; artikel 2:94c lid 3 BW)</w:t>
      </w:r>
      <w:bookmarkEnd w:id="298"/>
      <w:bookmarkEnd w:id="299"/>
      <w:bookmarkEnd w:id="300"/>
      <w:bookmarkEnd w:id="301"/>
      <w:bookmarkEnd w:id="302"/>
      <w:bookmarkEnd w:id="303"/>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‘Other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the management of [naam vennootschap]</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r w:rsidRPr="00B47BF8">
        <w:rPr>
          <w:rFonts w:cs="Arial"/>
          <w:b/>
          <w:bCs/>
          <w:i/>
          <w:iCs/>
          <w:lang w:val="en-GB"/>
        </w:rPr>
        <w:t>naar keuze</w:t>
      </w:r>
      <w:r w:rsidRPr="004A381E">
        <w:rPr>
          <w:rFonts w:cs="Arial"/>
          <w:lang w:val="en-GB"/>
        </w:rPr>
        <w:t>: acquired /to be acquired]</w:t>
      </w:r>
      <w:r>
        <w:rPr>
          <w:rStyle w:val="Voetnootmarkering"/>
          <w:rFonts w:cs="Arial"/>
          <w:lang w:val="en-GB"/>
        </w:rPr>
        <w:footnoteReference w:id="282"/>
      </w:r>
      <w:r w:rsidRPr="004A381E">
        <w:rPr>
          <w:rFonts w:cs="Arial"/>
          <w:lang w:val="en-GB"/>
        </w:rPr>
        <w:t xml:space="preserve"> </w:t>
      </w:r>
      <w:r w:rsidR="000860E8" w:rsidRPr="00C2635D">
        <w:rPr>
          <w:rFonts w:cs="Arial"/>
          <w:lang w:val="en-GB"/>
        </w:rPr>
        <w:t>by … (naam vennootschap) based in ... (vestigingsplaats)</w:t>
      </w:r>
      <w:r w:rsidR="000860E8" w:rsidRPr="00C2635D">
        <w:rPr>
          <w:rStyle w:val="Voetnootmarkering"/>
          <w:rFonts w:cs="Arial"/>
        </w:rPr>
        <w:footnoteReference w:id="283"/>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r w:rsidRPr="00F12377">
        <w:rPr>
          <w:rFonts w:cs="Arial"/>
          <w:b/>
          <w:bCs/>
          <w:i/>
          <w:iCs/>
          <w:lang w:val="en-GB"/>
        </w:rPr>
        <w:t>naar keuze</w:t>
      </w:r>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dated … (datum ondertekening beschrijving) and represented as at … </w:t>
      </w:r>
      <w:r w:rsidRPr="00F12377">
        <w:rPr>
          <w:rFonts w:cs="Arial"/>
          <w:lang w:val="en-GB"/>
        </w:rPr>
        <w:t>(datum per welke de goederen zijn gewaardeerd)</w:t>
      </w:r>
      <w:r w:rsidR="000860E8" w:rsidRPr="00C2635D">
        <w:rPr>
          <w:rStyle w:val="Voetnootmarkering"/>
          <w:rFonts w:cs="Arial"/>
        </w:rPr>
        <w:footnoteReference w:id="284"/>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85"/>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86"/>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7777777"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77777777"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7"/>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8"/>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4" w:name="_Toc494959494"/>
    </w:p>
    <w:p w14:paraId="4A7DA145" w14:textId="77777777" w:rsidR="00277EC3" w:rsidRPr="00C2635D" w:rsidRDefault="00277EC3" w:rsidP="00A71A67">
      <w:pPr>
        <w:pStyle w:val="Kop2"/>
      </w:pPr>
      <w:bookmarkStart w:id="305" w:name="_Toc53399380"/>
      <w:bookmarkStart w:id="306" w:name="_Toc111791894"/>
      <w:bookmarkStart w:id="307" w:name="_Toc111798551"/>
      <w:bookmarkStart w:id="308" w:name="_Toc111798883"/>
      <w:bookmarkStart w:id="309" w:name="_Toc183503431"/>
      <w:r w:rsidRPr="00C2635D">
        <w:t>16.4 Controleverklaring betreffende de omzetting van een B.V. in een N.V. (artikel 2:72 lid 1 BW)</w:t>
      </w:r>
      <w:bookmarkEnd w:id="304"/>
      <w:bookmarkEnd w:id="305"/>
      <w:bookmarkEnd w:id="306"/>
      <w:bookmarkEnd w:id="307"/>
      <w:bookmarkEnd w:id="308"/>
      <w:bookmarkEnd w:id="309"/>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informatie in het document waarin de jaarrekening of tussentijdse vermogensomstelling, zoals bijvoorbeeld een bestuursverslag.</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‘Other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the management of [naam vennootschap]</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90"/>
      </w:r>
      <w:r w:rsidR="00246F23" w:rsidRPr="00203C38">
        <w:rPr>
          <w:rFonts w:cs="Arial"/>
        </w:rPr>
        <w:t xml:space="preserve"> of … (naam vennootschap) based in ... </w:t>
      </w:r>
      <w:r w:rsidR="00246F23" w:rsidRPr="00C2635D">
        <w:rPr>
          <w:rFonts w:cs="Arial"/>
          <w:lang w:val="en-GB"/>
        </w:rPr>
        <w:t>(vestigingsplaats)</w:t>
      </w:r>
      <w:r w:rsidR="00A71025" w:rsidRPr="00C2635D">
        <w:rPr>
          <w:rStyle w:val="Voetnootmarkering"/>
          <w:rFonts w:cs="Arial"/>
        </w:rPr>
        <w:footnoteReference w:id="291"/>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of .. (naam vennootschap),</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92"/>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93"/>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94"/>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77777777"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08901813" w14:textId="77777777" w:rsidR="00246F23" w:rsidRPr="00C2635D" w:rsidRDefault="00246F23" w:rsidP="001A439A">
      <w:pPr>
        <w:widowControl w:val="0"/>
        <w:rPr>
          <w:rFonts w:cs="Arial"/>
          <w:lang w:val="en-GB"/>
        </w:rPr>
      </w:pPr>
    </w:p>
    <w:p w14:paraId="1AF8492D" w14:textId="7777777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95"/>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96"/>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0" w:name="_Toc53399381"/>
      <w:bookmarkStart w:id="311" w:name="_Toc111791895"/>
      <w:bookmarkStart w:id="312" w:name="_Toc111798552"/>
      <w:bookmarkStart w:id="313" w:name="_Toc111798884"/>
      <w:bookmarkStart w:id="314" w:name="_Toc183503432"/>
      <w:r w:rsidRPr="00C2635D">
        <w:t>16.5 Controleverklaring betreffende de omzetting van een andere rechtspersoon dan een B.V. in een N.V. (artikel 2:72 lid 2 onderdeel a BW)</w:t>
      </w:r>
      <w:bookmarkEnd w:id="310"/>
      <w:bookmarkEnd w:id="311"/>
      <w:bookmarkEnd w:id="312"/>
      <w:bookmarkEnd w:id="313"/>
      <w:bookmarkEnd w:id="314"/>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andere informatie in het document waarin de jaarrekening of tussentijdse vermogensomstelling is opgenomen, zoals bijvoorbeeld een bestuursverslag.</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‘Other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r w:rsidRPr="00C2635D">
        <w:rPr>
          <w:rFonts w:cs="Arial"/>
        </w:rPr>
        <w:t xml:space="preserve">To: </w:t>
      </w:r>
      <w:r w:rsidR="00762B04" w:rsidRPr="00C2635D">
        <w:rPr>
          <w:rFonts w:cs="Arial"/>
        </w:rPr>
        <w:t>the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8"/>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based in ... </w:t>
      </w:r>
      <w:r w:rsidR="00DF13B1" w:rsidRPr="00C2635D">
        <w:rPr>
          <w:rFonts w:cs="Arial"/>
          <w:lang w:val="en-GB"/>
        </w:rPr>
        <w:t>(vestigingsplaats)</w:t>
      </w:r>
      <w:r w:rsidR="00DF13B1" w:rsidRPr="00C2635D">
        <w:rPr>
          <w:rStyle w:val="Voetnootmarkering"/>
          <w:rFonts w:cs="Arial"/>
        </w:rPr>
        <w:footnoteReference w:id="299"/>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of .. (naam rechtspersoon)</w:t>
      </w:r>
      <w:r w:rsidR="00DF13B1" w:rsidRPr="00C2635D">
        <w:rPr>
          <w:rFonts w:cs="Arial"/>
          <w:lang w:val="en-GB"/>
        </w:rPr>
        <w:t xml:space="preserve"> </w:t>
      </w:r>
      <w:r w:rsidR="00DF13B1" w:rsidRPr="00C2635D">
        <w:rPr>
          <w:rFonts w:cs="Arial"/>
          <w:i/>
          <w:lang w:val="en-GB"/>
        </w:rPr>
        <w:t>[</w:t>
      </w:r>
      <w:r w:rsidR="00DF13B1" w:rsidRPr="00C2635D">
        <w:rPr>
          <w:rFonts w:cs="Arial"/>
          <w:b/>
          <w:i/>
          <w:lang w:val="en-GB"/>
        </w:rPr>
        <w:t>Optioneel</w:t>
      </w:r>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00"/>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01"/>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02"/>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77777777"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3823EFF1" w14:textId="77777777" w:rsidR="009D5318" w:rsidRDefault="009D5318" w:rsidP="001A439A">
      <w:pPr>
        <w:widowControl w:val="0"/>
        <w:rPr>
          <w:rFonts w:cs="Arial"/>
          <w:lang w:val="en-GB"/>
        </w:rPr>
      </w:pPr>
    </w:p>
    <w:p w14:paraId="55B8C119" w14:textId="77777777" w:rsidR="00DF13B1" w:rsidRPr="00C2635D" w:rsidRDefault="00DF13B1" w:rsidP="001A439A">
      <w:pPr>
        <w:widowControl w:val="0"/>
        <w:rPr>
          <w:rFonts w:cs="Arial"/>
          <w:lang w:val="en-GB"/>
        </w:rPr>
      </w:pPr>
      <w:r w:rsidRPr="00C2635D">
        <w:rPr>
          <w:rFonts w:cs="Arial"/>
          <w:lang w:val="en-GB"/>
        </w:rPr>
        <w:t xml:space="preserve">Our audit has been performed with a high, but not absolute, level of assurance, which means we may not detect all material errors and fraud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03"/>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04"/>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5" w:name="_Toc53399382"/>
      <w:bookmarkStart w:id="316" w:name="_Toc111791896"/>
      <w:bookmarkStart w:id="317" w:name="_Toc111798553"/>
      <w:bookmarkStart w:id="318" w:name="_Toc111798885"/>
      <w:bookmarkStart w:id="319" w:name="_Toc183503433"/>
      <w:r w:rsidRPr="00C2635D">
        <w:t>17 </w:t>
      </w:r>
      <w:bookmarkEnd w:id="315"/>
      <w:bookmarkEnd w:id="316"/>
      <w:bookmarkEnd w:id="317"/>
      <w:bookmarkEnd w:id="318"/>
      <w:r w:rsidR="00366513" w:rsidRPr="00C2635D">
        <w:t>Splitsings</w:t>
      </w:r>
      <w:r w:rsidR="00366513">
        <w:t>rapportages</w:t>
      </w:r>
      <w:bookmarkEnd w:id="319"/>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0" w:name="_Toc468955299"/>
      <w:bookmarkStart w:id="321" w:name="_Toc494959376"/>
      <w:bookmarkStart w:id="322" w:name="_Toc53399383"/>
      <w:bookmarkStart w:id="323" w:name="_Toc111791897"/>
      <w:bookmarkStart w:id="324" w:name="_Toc111798554"/>
      <w:bookmarkStart w:id="325" w:name="_Toc111798886"/>
      <w:bookmarkStart w:id="326" w:name="_Toc183503434"/>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0"/>
      <w:bookmarkEnd w:id="321"/>
      <w:bookmarkEnd w:id="322"/>
      <w:bookmarkEnd w:id="323"/>
      <w:bookmarkEnd w:id="324"/>
      <w:bookmarkEnd w:id="325"/>
      <w:bookmarkEnd w:id="326"/>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06"/>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(naam splitsende vennootschap)] based in … (vestigingsplaats)</w:t>
      </w:r>
      <w:r w:rsidR="002C7631" w:rsidRPr="00C2635D">
        <w:rPr>
          <w:rStyle w:val="Voetnootmarkering"/>
          <w:rFonts w:cs="Arial"/>
        </w:rPr>
        <w:footnoteReference w:id="307"/>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w:t>
      </w:r>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r w:rsidRPr="00C2635D">
        <w:rPr>
          <w:rFonts w:eastAsia="Calibri" w:cs="Arial"/>
        </w:rPr>
        <w:t>and</w:t>
      </w:r>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[Indien van toepassing (artikel 2:334x lid 2 BW en artikel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’Assurance-opdrachten anders dan opdrachten tot controle of beoordeling van historische financiële informatie (attest-opdrachten)’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(nam</w:t>
      </w:r>
      <w:r w:rsidR="00681686"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08"/>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58F0FE59"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and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78DF13AA"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52187" w:rsidRPr="00C2635D">
        <w:rPr>
          <w:rFonts w:eastAsia="Calibri" w:cs="Arial"/>
          <w:lang w:val="en-GB"/>
        </w:rPr>
        <w:t xml:space="preserve"> fraud</w:t>
      </w:r>
      <w:r w:rsidRPr="00C2635D">
        <w:rPr>
          <w:rFonts w:eastAsia="Calibri" w:cs="Arial"/>
          <w:lang w:val="en-GB"/>
        </w:rPr>
        <w:t xml:space="preserve"> </w:t>
      </w:r>
      <w:r w:rsidR="00152187" w:rsidRPr="00C2635D">
        <w:rPr>
          <w:rFonts w:eastAsia="Calibri" w:cs="Arial"/>
          <w:lang w:val="en-GB"/>
        </w:rPr>
        <w:t xml:space="preserve">and </w:t>
      </w:r>
      <w:r w:rsidRPr="00C2635D">
        <w:rPr>
          <w:rFonts w:eastAsia="Calibri" w:cs="Arial"/>
          <w:lang w:val="en-GB"/>
        </w:rPr>
        <w:t>errors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4001DD99" w:rsidR="00537CA0" w:rsidRDefault="00537CA0" w:rsidP="001A439A">
      <w:pPr>
        <w:widowControl w:val="0"/>
        <w:rPr>
          <w:rFonts w:eastAsia="Calibri" w:cs="Arial"/>
          <w:lang w:val="en-GB"/>
        </w:rPr>
      </w:pPr>
      <w:r w:rsidRPr="00537CA0">
        <w:rPr>
          <w:rFonts w:eastAsia="Calibri" w:cs="Arial"/>
          <w:lang w:val="en-GB"/>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identifying and assessing the risks of material misstatement of the proposed share exchange ratio, </w:t>
      </w:r>
      <w:r w:rsidRPr="00A90E7C">
        <w:rPr>
          <w:rFonts w:eastAsia="Calibri" w:cs="Arial"/>
          <w:lang w:val="en-GB"/>
        </w:rPr>
        <w:lastRenderedPageBreak/>
        <w:t xml:space="preserve">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155B54">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155B54">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09"/>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7" w:name="_Toc468955301"/>
      <w:bookmarkStart w:id="328" w:name="_Toc494959377"/>
    </w:p>
    <w:p w14:paraId="67D1A3DF" w14:textId="0EC8473D" w:rsidR="00277EC3" w:rsidRPr="00C2635D" w:rsidRDefault="00277EC3" w:rsidP="00A71A67">
      <w:pPr>
        <w:pStyle w:val="Kop2"/>
      </w:pPr>
      <w:bookmarkStart w:id="329" w:name="_Toc53399384"/>
      <w:bookmarkStart w:id="330" w:name="_Toc111791898"/>
      <w:bookmarkStart w:id="331" w:name="_Toc111798555"/>
      <w:bookmarkStart w:id="332" w:name="_Toc111798887"/>
      <w:bookmarkStart w:id="333" w:name="_Toc183503435"/>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7"/>
      <w:bookmarkEnd w:id="328"/>
      <w:bookmarkEnd w:id="329"/>
      <w:bookmarkEnd w:id="330"/>
      <w:bookmarkEnd w:id="331"/>
      <w:bookmarkEnd w:id="332"/>
      <w:bookmarkEnd w:id="333"/>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10"/>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(naam splitsende vennootschap)] based in … (vestigings</w:t>
      </w:r>
      <w:r w:rsidR="00BE2380" w:rsidRPr="00C2635D">
        <w:rPr>
          <w:rFonts w:eastAsia="Calibri" w:cs="Arial"/>
        </w:rPr>
        <w:t>plaats)</w:t>
      </w:r>
      <w:r w:rsidR="00095038" w:rsidRPr="00C2635D">
        <w:rPr>
          <w:rStyle w:val="Voetnootmarkering"/>
          <w:rFonts w:cs="Arial"/>
        </w:rPr>
        <w:footnoteReference w:id="311"/>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r w:rsidRPr="00C2635D">
        <w:rPr>
          <w:rFonts w:eastAsia="Calibri" w:cs="Arial"/>
        </w:rPr>
        <w:t>and</w:t>
      </w:r>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[Indien van toepassing (artikel 2:334x lid 2 BW en artikel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’Assurance-opdrachten anders dan opdrachten tot controle of beoordeling van historische financiële informatie (attest-opdrachten)’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12"/>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5F4A0E0A"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and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3709717F"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745EB4" w:rsidRPr="00C2635D">
        <w:rPr>
          <w:rFonts w:eastAsia="Calibri" w:cs="Arial"/>
          <w:lang w:val="en-GB"/>
        </w:rPr>
        <w:t xml:space="preserve"> fraud</w:t>
      </w:r>
      <w:r w:rsidRPr="00C2635D">
        <w:rPr>
          <w:rFonts w:eastAsia="Calibri" w:cs="Arial"/>
          <w:lang w:val="en-GB"/>
        </w:rPr>
        <w:t xml:space="preserve"> </w:t>
      </w:r>
      <w:r w:rsidR="00745EB4" w:rsidRPr="00C2635D">
        <w:rPr>
          <w:rFonts w:eastAsia="Calibri" w:cs="Arial"/>
          <w:lang w:val="en-GB"/>
        </w:rPr>
        <w:t xml:space="preserve">and </w:t>
      </w:r>
      <w:r w:rsidRPr="00C2635D">
        <w:rPr>
          <w:rFonts w:eastAsia="Calibri" w:cs="Arial"/>
          <w:lang w:val="en-GB"/>
        </w:rPr>
        <w:t xml:space="preserve">errors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77777777" w:rsidR="00745EB4" w:rsidRDefault="00745EB4" w:rsidP="001A439A">
      <w:pPr>
        <w:widowControl w:val="0"/>
        <w:rPr>
          <w:rFonts w:eastAsia="Calibri" w:cs="Arial"/>
          <w:lang w:val="en-GB"/>
        </w:rPr>
      </w:pPr>
      <w:r w:rsidRPr="00745EB4">
        <w:rPr>
          <w:rFonts w:eastAsia="Calibri" w:cs="Arial"/>
          <w:lang w:val="en-GB"/>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745EB4">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745EB4">
      <w:pPr>
        <w:widowControl w:val="0"/>
        <w:numPr>
          <w:ilvl w:val="0"/>
          <w:numId w:val="85"/>
        </w:numPr>
        <w:rPr>
          <w:rFonts w:eastAsia="Calibri" w:cs="Arial"/>
          <w:lang w:val="en-GB"/>
        </w:rPr>
      </w:pPr>
      <w:r>
        <w:rPr>
          <w:rFonts w:eastAsia="Calibri" w:cs="Arial"/>
          <w:lang w:val="en-GB"/>
        </w:rPr>
        <w:t>…</w:t>
      </w:r>
      <w:r>
        <w:rPr>
          <w:rStyle w:val="Voetnootmarkering"/>
          <w:rFonts w:eastAsia="Calibri" w:cs="Arial"/>
          <w:lang w:val="en-GB"/>
        </w:rPr>
        <w:footnoteReference w:id="313"/>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4" w:name="_Toc494959378"/>
    </w:p>
    <w:p w14:paraId="295360ED" w14:textId="77777777" w:rsidR="00277EC3" w:rsidRPr="00C2635D" w:rsidRDefault="00277EC3" w:rsidP="00A71A67">
      <w:pPr>
        <w:pStyle w:val="Kop2"/>
      </w:pPr>
      <w:bookmarkStart w:id="335" w:name="_Toc53399385"/>
      <w:bookmarkStart w:id="336" w:name="_Toc111791899"/>
      <w:bookmarkStart w:id="337" w:name="_Toc111798556"/>
      <w:bookmarkStart w:id="338" w:name="_Toc111798888"/>
      <w:bookmarkStart w:id="339" w:name="_Toc183503436"/>
      <w:r w:rsidRPr="00C2635D">
        <w:t>17.3 Controleverklaring betreffende de ruilverhouding van de aandelen (artikel 2:334aa lid 1 BW) en de omvang van het gebonden eigen vermogen (artikel 2:334aa lid 2 BW) bij een voorstel tot juridische afsplitsing</w:t>
      </w:r>
      <w:bookmarkEnd w:id="334"/>
      <w:bookmarkEnd w:id="335"/>
      <w:bookmarkEnd w:id="336"/>
      <w:bookmarkEnd w:id="337"/>
      <w:bookmarkEnd w:id="338"/>
      <w:bookmarkEnd w:id="339"/>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rechtspersonen en van de voortbestaande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14"/>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(naam splitsende vennootschap) based in … (vestigingsplaats)</w:t>
      </w:r>
      <w:r w:rsidR="00B929BA" w:rsidRPr="00C2635D">
        <w:rPr>
          <w:rStyle w:val="Voetnootmarkering"/>
          <w:rFonts w:eastAsia="Calibri" w:cs="Arial"/>
        </w:rPr>
        <w:footnoteReference w:id="315"/>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r w:rsidRPr="00C2635D">
        <w:rPr>
          <w:rFonts w:eastAsia="Calibri" w:cs="Arial"/>
        </w:rPr>
        <w:t>and</w:t>
      </w:r>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(naam verkrijgende vennootschap) based in … (vestigingsplaats), (</w:t>
      </w:r>
      <w:r w:rsidR="00081FCF" w:rsidRPr="00C2635D">
        <w:rPr>
          <w:rFonts w:eastAsia="Calibri" w:cs="Arial"/>
        </w:rPr>
        <w:t>‘</w:t>
      </w:r>
      <w:r w:rsidRPr="00C2635D">
        <w:rPr>
          <w:rFonts w:eastAsia="Calibri" w:cs="Arial"/>
        </w:rPr>
        <w:t>acquiring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r w:rsidR="00094706" w:rsidRPr="0094160B">
        <w:rPr>
          <w:rFonts w:eastAsia="Calibri" w:cs="Arial"/>
          <w:i/>
          <w:iCs/>
          <w:lang w:val="en-GB"/>
        </w:rPr>
        <w:t>Zie NB1-tekst boven de verklaring</w:t>
      </w:r>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r w:rsidR="00E30EA1" w:rsidRPr="00C2635D">
        <w:rPr>
          <w:rFonts w:eastAsia="Calibri" w:cs="Arial"/>
          <w:b/>
          <w:i/>
          <w:lang w:val="en-GB"/>
        </w:rPr>
        <w:t>optioneel</w:t>
      </w:r>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r w:rsidR="00E30EA1" w:rsidRPr="00C2635D">
        <w:rPr>
          <w:rFonts w:eastAsia="Calibri" w:cs="Arial"/>
          <w:i/>
          <w:lang w:val="en-GB"/>
        </w:rPr>
        <w:t>balansdatum of datum tussentijdse vermogensopstelling</w:t>
      </w:r>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r w:rsidR="00E30EA1" w:rsidRPr="00C2635D">
        <w:rPr>
          <w:rFonts w:eastAsia="Calibri" w:cs="Arial"/>
          <w:b/>
          <w:i/>
          <w:lang w:val="en-GB"/>
        </w:rPr>
        <w:t>optioneel</w:t>
      </w:r>
      <w:r w:rsidR="005E00EE">
        <w:rPr>
          <w:rFonts w:eastAsia="Calibri" w:cs="Arial"/>
          <w:b/>
          <w:i/>
          <w:lang w:val="en-GB"/>
        </w:rPr>
        <w:t>, indi</w:t>
      </w:r>
      <w:r w:rsidR="00381053">
        <w:rPr>
          <w:rFonts w:eastAsia="Calibri" w:cs="Arial"/>
          <w:b/>
          <w:i/>
          <w:lang w:val="en-GB"/>
        </w:rPr>
        <w:t>e</w:t>
      </w:r>
      <w:r w:rsidR="005E00EE">
        <w:rPr>
          <w:rFonts w:eastAsia="Calibri" w:cs="Arial"/>
          <w:b/>
          <w:i/>
          <w:lang w:val="en-GB"/>
        </w:rPr>
        <w:t>n van toepassing</w:t>
      </w:r>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16"/>
      </w:r>
      <w:r w:rsidR="00E30EA1" w:rsidRPr="00C2635D">
        <w:rPr>
          <w:rFonts w:eastAsia="Calibri" w:cs="Arial"/>
          <w:lang w:val="en-GB"/>
        </w:rPr>
        <w:t>], [</w:t>
      </w:r>
      <w:r w:rsidR="00E30EA1" w:rsidRPr="00C2635D">
        <w:rPr>
          <w:rFonts w:eastAsia="Calibri" w:cs="Arial"/>
          <w:b/>
          <w:i/>
          <w:lang w:val="en-GB"/>
        </w:rPr>
        <w:t>optioneel</w:t>
      </w:r>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17"/>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18"/>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19"/>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77777777"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77777777"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20"/>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21"/>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2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1" w:name="_Toc494959379"/>
      <w:bookmarkStart w:id="342" w:name="_Toc53399386"/>
      <w:bookmarkStart w:id="343" w:name="_Toc111791900"/>
      <w:bookmarkStart w:id="344" w:name="_Toc111798557"/>
      <w:bookmarkStart w:id="345" w:name="_Toc111798889"/>
      <w:bookmarkStart w:id="346" w:name="_Toc183503437"/>
      <w:r w:rsidRPr="00C2635D">
        <w:t>17.4 Accountantsverslag betreffende de mededelingen omtrent de ruilverhouding van de aandelen in de toelichting bij een voorstel tot juridische splitsing (artikel 2:334aa lid 3 BW)</w:t>
      </w:r>
      <w:bookmarkEnd w:id="341"/>
      <w:bookmarkEnd w:id="342"/>
      <w:bookmarkEnd w:id="343"/>
      <w:bookmarkEnd w:id="344"/>
      <w:bookmarkEnd w:id="345"/>
      <w:bookmarkEnd w:id="346"/>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23"/>
      </w:r>
    </w:p>
    <w:p w14:paraId="4BAA13E2" w14:textId="77777777" w:rsidR="00CB1D18" w:rsidRPr="00C2635D" w:rsidRDefault="00CB1D18" w:rsidP="00FD0510">
      <w:pPr>
        <w:widowControl w:val="0"/>
        <w:numPr>
          <w:ilvl w:val="0"/>
          <w:numId w:val="33"/>
        </w:numPr>
        <w:rPr>
          <w:rFonts w:cs="Arial"/>
        </w:rPr>
      </w:pPr>
      <w:r w:rsidRPr="00C2635D">
        <w:rPr>
          <w:rFonts w:cs="Arial"/>
        </w:rPr>
        <w:t>… (naam splitsende vennootschap) based in … (vestigingsplaats)</w:t>
      </w:r>
      <w:r w:rsidRPr="00C2635D">
        <w:rPr>
          <w:rStyle w:val="Voetnootmarkering"/>
          <w:rFonts w:eastAsia="Calibri" w:cs="Arial"/>
        </w:rPr>
        <w:footnoteReference w:id="324"/>
      </w:r>
      <w:r w:rsidRPr="00C2635D">
        <w:rPr>
          <w:rFonts w:cs="Arial"/>
        </w:rPr>
        <w:t>, (</w:t>
      </w:r>
      <w:r w:rsidR="00775984" w:rsidRPr="00C2635D">
        <w:rPr>
          <w:rFonts w:cs="Arial"/>
        </w:rPr>
        <w:t>‘</w:t>
      </w:r>
      <w:r w:rsidRPr="00C2635D">
        <w:rPr>
          <w:rFonts w:cs="Arial"/>
        </w:rPr>
        <w:t>demerging company</w:t>
      </w:r>
      <w:r w:rsidR="00775984" w:rsidRPr="00C2635D">
        <w:rPr>
          <w:rFonts w:cs="Arial"/>
        </w:rPr>
        <w:t>’</w:t>
      </w:r>
      <w:r w:rsidRPr="00C2635D">
        <w:rPr>
          <w:rFonts w:cs="Arial"/>
        </w:rPr>
        <w:t>); and</w:t>
      </w:r>
    </w:p>
    <w:p w14:paraId="56C9ADB3" w14:textId="77777777" w:rsidR="00CB1D18" w:rsidRPr="00C2635D" w:rsidRDefault="00CB1D18" w:rsidP="00FD0510">
      <w:pPr>
        <w:widowControl w:val="0"/>
        <w:numPr>
          <w:ilvl w:val="0"/>
          <w:numId w:val="33"/>
        </w:numPr>
        <w:rPr>
          <w:rFonts w:cs="Arial"/>
        </w:rPr>
      </w:pPr>
      <w:r w:rsidRPr="00C2635D">
        <w:rPr>
          <w:rFonts w:cs="Arial"/>
        </w:rPr>
        <w:t>… (naam verkrijgende vennootschap) based in … (vestigingsplaats) (</w:t>
      </w:r>
      <w:r w:rsidR="00775984" w:rsidRPr="00C2635D">
        <w:rPr>
          <w:rFonts w:cs="Arial"/>
        </w:rPr>
        <w:t>‘</w:t>
      </w:r>
      <w:r w:rsidRPr="00C2635D">
        <w:rPr>
          <w:rFonts w:cs="Arial"/>
        </w:rPr>
        <w:t>acquiring company</w:t>
      </w:r>
      <w:r w:rsidR="00775984" w:rsidRPr="00C2635D">
        <w:rPr>
          <w:rFonts w:cs="Arial"/>
        </w:rPr>
        <w:t>’</w:t>
      </w:r>
      <w:r w:rsidRPr="00C2635D">
        <w:rPr>
          <w:rFonts w:cs="Arial"/>
        </w:rPr>
        <w:t>); and</w:t>
      </w:r>
    </w:p>
    <w:p w14:paraId="12199BC0" w14:textId="77777777" w:rsidR="00CB1D18" w:rsidRPr="00C2635D" w:rsidRDefault="00CB1D18" w:rsidP="00FD0510">
      <w:pPr>
        <w:widowControl w:val="0"/>
        <w:numPr>
          <w:ilvl w:val="0"/>
          <w:numId w:val="33"/>
        </w:numPr>
        <w:rPr>
          <w:rFonts w:cs="Arial"/>
        </w:rPr>
      </w:pPr>
      <w:r w:rsidRPr="00C2635D">
        <w:rPr>
          <w:rFonts w:cs="Arial"/>
        </w:rPr>
        <w:t>… (naam verkrijgende vennootschap) based in … (vestigingsplaats) (</w:t>
      </w:r>
      <w:r w:rsidR="00775984" w:rsidRPr="00C2635D">
        <w:rPr>
          <w:rFonts w:cs="Arial"/>
        </w:rPr>
        <w:t>‘</w:t>
      </w:r>
      <w:r w:rsidRPr="00C2635D">
        <w:rPr>
          <w:rFonts w:cs="Arial"/>
        </w:rPr>
        <w:t>acquiring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25"/>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77777777"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5B5E21F0" w14:textId="77777777" w:rsidR="00CB1D18" w:rsidRPr="00C2635D" w:rsidRDefault="00CB1D18" w:rsidP="001A439A">
      <w:pPr>
        <w:widowControl w:val="0"/>
        <w:rPr>
          <w:rFonts w:cs="Arial"/>
          <w:b/>
          <w:lang w:val="en-GB"/>
        </w:rPr>
      </w:pPr>
    </w:p>
    <w:p w14:paraId="4548E1F5" w14:textId="77777777"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 errors and fraud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 xml:space="preserve">We apply the ‘Nadere voorschriften kwaliteitssystemen’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(opdrachtspecifieke werkzaamheden).</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7" w:name="_Toc494959381"/>
      <w:bookmarkStart w:id="348" w:name="_Toc53399387"/>
      <w:bookmarkStart w:id="349" w:name="_Toc111791901"/>
      <w:bookmarkStart w:id="350" w:name="_Toc111798558"/>
      <w:bookmarkStart w:id="351" w:name="_Toc111798890"/>
      <w:bookmarkStart w:id="352" w:name="_Toc183503438"/>
      <w:r w:rsidRPr="00C2635D">
        <w:t>17.5 Controleverklaring betreffende de verkrijging van vermogensbestanddelen onder algemene titel door een verkrijgende N.V. bij een voorstel tot juridische splitsing (artikel 2:334bb lid 1 BW)</w:t>
      </w:r>
      <w:bookmarkEnd w:id="347"/>
      <w:bookmarkEnd w:id="348"/>
      <w:bookmarkEnd w:id="349"/>
      <w:bookmarkEnd w:id="350"/>
      <w:bookmarkEnd w:id="351"/>
      <w:bookmarkEnd w:id="352"/>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h.de voornemens over de samenstelling na de splitsing van de besturen van de verkrijgende rechtspersonen en van de voortbestaande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26"/>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(naam splitsende vennootschap)] based in … (vestigingsplaats)</w:t>
      </w:r>
      <w:r w:rsidR="00080F60" w:rsidRPr="00C2635D">
        <w:rPr>
          <w:rStyle w:val="Voetnootmarkering"/>
          <w:rFonts w:eastAsia="Calibri" w:cs="Arial"/>
        </w:rPr>
        <w:footnoteReference w:id="327"/>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r w:rsidRPr="00C2635D">
        <w:rPr>
          <w:rFonts w:eastAsia="Calibri" w:cs="Arial"/>
        </w:rPr>
        <w:t>and</w:t>
      </w:r>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(datum) of the companies mentioned above.</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acquiring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aam verkrijgende vennootschap waarop deze verklaring ziet)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28"/>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datum per welke de inbreng is gewaardeerd</w:t>
      </w:r>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r w:rsidRPr="00C2635D">
        <w:rPr>
          <w:rFonts w:eastAsia="Calibri" w:cs="Arial"/>
          <w:b/>
          <w:i/>
          <w:lang w:val="en-GB"/>
        </w:rPr>
        <w:t>optioneel</w:t>
      </w:r>
      <w:r w:rsidR="005E00EE">
        <w:rPr>
          <w:rFonts w:eastAsia="Calibri" w:cs="Arial"/>
          <w:b/>
          <w:i/>
          <w:lang w:val="en-GB"/>
        </w:rPr>
        <w:t>, indien van toepassing</w:t>
      </w:r>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29"/>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30"/>
      </w:r>
      <w:r w:rsidRPr="00C2635D">
        <w:rPr>
          <w:rFonts w:eastAsia="Calibri" w:cs="Arial"/>
          <w:lang w:val="en-GB"/>
        </w:rPr>
        <w:t>] [</w:t>
      </w:r>
      <w:r w:rsidRPr="00C2635D">
        <w:rPr>
          <w:rFonts w:eastAsia="Calibri" w:cs="Arial"/>
          <w:b/>
          <w:i/>
          <w:lang w:val="en-GB"/>
        </w:rPr>
        <w:t>optioneel</w:t>
      </w:r>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31"/>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32"/>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33"/>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7777777"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and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77777777"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34"/>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35"/>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36"/>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4" w:name="_Toc53399388"/>
      <w:bookmarkStart w:id="355" w:name="_Toc111791902"/>
      <w:bookmarkStart w:id="356" w:name="_Toc111798559"/>
      <w:bookmarkStart w:id="357" w:name="_Toc111798891"/>
      <w:bookmarkStart w:id="358" w:name="_Toc183503439"/>
      <w:r w:rsidRPr="00C2635D">
        <w:t>18 </w:t>
      </w:r>
      <w:bookmarkEnd w:id="354"/>
      <w:bookmarkEnd w:id="355"/>
      <w:bookmarkEnd w:id="356"/>
      <w:bookmarkEnd w:id="357"/>
      <w:r w:rsidR="007828E5" w:rsidRPr="00C2635D">
        <w:t>Fusie</w:t>
      </w:r>
      <w:r w:rsidR="007828E5">
        <w:t>rapportages</w:t>
      </w:r>
      <w:bookmarkEnd w:id="358"/>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59" w:name="_Toc494959905"/>
      <w:bookmarkStart w:id="360" w:name="_Toc53399389"/>
      <w:bookmarkStart w:id="361" w:name="_Toc111791903"/>
      <w:bookmarkStart w:id="362" w:name="_Toc111798560"/>
      <w:bookmarkStart w:id="363" w:name="_Toc111798892"/>
      <w:bookmarkStart w:id="364" w:name="_Toc183503440"/>
      <w:r w:rsidRPr="00C2635D">
        <w:t>18.1 Controleverklaring betreffende een voorstel tot juridische fusie (artikel 2:328 lid 1 BW)</w:t>
      </w:r>
      <w:bookmarkEnd w:id="359"/>
      <w:bookmarkEnd w:id="360"/>
      <w:bookmarkEnd w:id="361"/>
      <w:bookmarkEnd w:id="362"/>
      <w:bookmarkEnd w:id="363"/>
      <w:bookmarkEnd w:id="364"/>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Wft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37"/>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(naam verdwijnende vennootschap] based in … (vestigingsplaats verdwijnende vennootschap)</w:t>
      </w:r>
      <w:r w:rsidR="00BF5816" w:rsidRPr="00C2635D">
        <w:rPr>
          <w:rStyle w:val="Voetnootmarkering"/>
          <w:rFonts w:eastAsia="Calibri" w:cs="Arial"/>
        </w:rPr>
        <w:footnoteReference w:id="338"/>
      </w:r>
      <w:r w:rsidR="00BE2380" w:rsidRPr="00C2635D">
        <w:rPr>
          <w:rFonts w:eastAsia="Calibri" w:cs="Arial"/>
        </w:rPr>
        <w:t xml:space="preserve"> (‘</w:t>
      </w:r>
      <w:r w:rsidR="00A8358C" w:rsidRPr="00C2635D">
        <w:rPr>
          <w:rFonts w:eastAsia="Calibri" w:cs="Arial"/>
        </w:rPr>
        <w:t xml:space="preserve">the </w:t>
      </w:r>
      <w:r w:rsidR="00BE2380" w:rsidRPr="00C2635D">
        <w:rPr>
          <w:rFonts w:eastAsia="Calibri" w:cs="Arial"/>
        </w:rPr>
        <w:t xml:space="preserve">disappearing </w:t>
      </w:r>
      <w:r w:rsidR="000A7BA7" w:rsidRPr="00C2635D">
        <w:rPr>
          <w:rFonts w:eastAsia="Calibri" w:cs="Arial"/>
        </w:rPr>
        <w:t>company</w:t>
      </w:r>
      <w:r w:rsidR="00BE2380" w:rsidRPr="00C2635D">
        <w:rPr>
          <w:rFonts w:eastAsia="Calibri" w:cs="Arial"/>
        </w:rPr>
        <w:t>’),</w:t>
      </w:r>
      <w:r w:rsidRPr="00C2635D">
        <w:rPr>
          <w:rFonts w:eastAsia="Calibri" w:cs="Arial"/>
        </w:rPr>
        <w:t xml:space="preserve"> and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(naam verkrijgende vennootschap] based in … (vestigingsplaats verkrijgende ven</w:t>
      </w:r>
      <w:r w:rsidR="00FD02FD" w:rsidRPr="00C2635D">
        <w:rPr>
          <w:rFonts w:eastAsia="Calibri" w:cs="Arial"/>
        </w:rPr>
        <w:t>nootschap] (‘</w:t>
      </w:r>
      <w:r w:rsidR="00A8358C" w:rsidRPr="00C2635D">
        <w:rPr>
          <w:rFonts w:eastAsia="Calibri" w:cs="Arial"/>
        </w:rPr>
        <w:t xml:space="preserve">the </w:t>
      </w:r>
      <w:r w:rsidR="00FD02FD" w:rsidRPr="00C2635D">
        <w:rPr>
          <w:rFonts w:eastAsia="Calibri" w:cs="Arial"/>
        </w:rPr>
        <w:t xml:space="preserve">acquiring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r w:rsidR="007721A5" w:rsidRPr="00997FEF">
        <w:rPr>
          <w:rFonts w:eastAsia="Calibri" w:cs="Arial"/>
          <w:i/>
          <w:iCs/>
          <w:lang w:val="en-GB"/>
        </w:rPr>
        <w:t>Zie NB1-tekst boven de verklaring</w:t>
      </w:r>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r w:rsidR="00034E06" w:rsidRPr="00752F7B">
        <w:rPr>
          <w:rFonts w:eastAsia="Calibri" w:cs="Arial"/>
          <w:i/>
          <w:iCs/>
          <w:lang w:val="en-GB"/>
        </w:rPr>
        <w:t xml:space="preserve">balansdatum resp. datum </w:t>
      </w:r>
      <w:r w:rsidR="00752F7B" w:rsidRPr="00752F7B">
        <w:rPr>
          <w:rFonts w:eastAsia="Calibri" w:cs="Arial"/>
          <w:i/>
          <w:iCs/>
          <w:lang w:val="en-GB"/>
        </w:rPr>
        <w:t>tussentijdse vermogensopstelling</w:t>
      </w:r>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39"/>
      </w:r>
      <w:r w:rsidR="00034E06" w:rsidRPr="00C2635D">
        <w:rPr>
          <w:rFonts w:eastAsia="Calibri" w:cs="Arial"/>
          <w:lang w:val="en-GB"/>
        </w:rPr>
        <w:t xml:space="preserve"> [</w:t>
      </w:r>
      <w:r w:rsidR="00034E06" w:rsidRPr="00C2635D">
        <w:rPr>
          <w:rFonts w:eastAsia="Calibri" w:cs="Arial"/>
          <w:b/>
          <w:i/>
          <w:lang w:val="en-GB"/>
        </w:rPr>
        <w:t>optioneel</w:t>
      </w:r>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40"/>
      </w:r>
      <w:r w:rsidR="00034E06" w:rsidRPr="00C2635D">
        <w:rPr>
          <w:rFonts w:eastAsia="Calibri" w:cs="Arial"/>
          <w:lang w:val="en-GB"/>
        </w:rPr>
        <w:t>], [</w:t>
      </w:r>
      <w:r w:rsidR="00034E06" w:rsidRPr="00C2635D">
        <w:rPr>
          <w:rFonts w:eastAsia="Calibri" w:cs="Arial"/>
          <w:b/>
          <w:i/>
          <w:lang w:val="en-GB"/>
        </w:rPr>
        <w:t>optioneel</w:t>
      </w:r>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41"/>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r w:rsidR="00034E06" w:rsidRPr="008536F0">
        <w:rPr>
          <w:rFonts w:eastAsia="Calibri" w:cs="Arial"/>
          <w:i/>
          <w:iCs/>
          <w:lang w:val="en-GB"/>
        </w:rPr>
        <w:t xml:space="preserve">balansdatum resp. datum </w:t>
      </w:r>
      <w:r w:rsidR="008536F0" w:rsidRPr="008536F0">
        <w:rPr>
          <w:rFonts w:eastAsia="Calibri" w:cs="Arial"/>
          <w:i/>
          <w:iCs/>
          <w:lang w:val="en-GB"/>
        </w:rPr>
        <w:t>tussentijdse vermogensopstelling</w:t>
      </w:r>
      <w:r w:rsidR="00034E06" w:rsidRPr="00C2635D">
        <w:rPr>
          <w:rFonts w:eastAsia="Calibri" w:cs="Arial"/>
          <w:lang w:val="en-GB"/>
        </w:rPr>
        <w:t>]</w:t>
      </w:r>
      <w:r w:rsidR="00BF5816" w:rsidRPr="00C2635D">
        <w:rPr>
          <w:rStyle w:val="Voetnootmarkering"/>
          <w:rFonts w:eastAsia="Calibri" w:cs="Arial"/>
          <w:lang w:val="en-GB"/>
        </w:rPr>
        <w:footnoteReference w:id="342"/>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43"/>
      </w:r>
      <w:r w:rsidR="00034E06" w:rsidRPr="00C2635D">
        <w:rPr>
          <w:rFonts w:eastAsia="Calibri" w:cs="Arial"/>
          <w:lang w:val="en-GB"/>
        </w:rPr>
        <w:t xml:space="preserve"> [</w:t>
      </w:r>
      <w:r w:rsidR="00034E06" w:rsidRPr="00C2635D">
        <w:rPr>
          <w:rFonts w:eastAsia="Calibri" w:cs="Arial"/>
          <w:b/>
          <w:i/>
          <w:lang w:val="en-GB"/>
        </w:rPr>
        <w:t>optioneel</w:t>
      </w:r>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44"/>
      </w:r>
      <w:r w:rsidR="00034E06" w:rsidRPr="00C2635D">
        <w:rPr>
          <w:rFonts w:eastAsia="Calibri" w:cs="Arial"/>
          <w:lang w:val="en-GB"/>
        </w:rPr>
        <w:t>] [</w:t>
      </w:r>
      <w:r w:rsidR="00034E06" w:rsidRPr="00C2635D">
        <w:rPr>
          <w:rFonts w:eastAsia="Calibri" w:cs="Arial"/>
          <w:b/>
          <w:i/>
          <w:lang w:val="en-GB"/>
        </w:rPr>
        <w:t>optioneel</w:t>
      </w:r>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45"/>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(namen van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46"/>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77777777" w:rsidR="00AE25F8" w:rsidRPr="00AE25F8" w:rsidRDefault="00AE25F8" w:rsidP="00AE25F8">
      <w:pPr>
        <w:widowControl w:val="0"/>
        <w:rPr>
          <w:rFonts w:eastAsia="Calibri" w:cs="Arial"/>
          <w:lang w:val="en-GB"/>
        </w:rPr>
      </w:pPr>
      <w:r w:rsidRPr="00AE25F8">
        <w:rPr>
          <w:rFonts w:eastAsia="Calibri" w:cs="Arial"/>
          <w:lang w:val="en-GB"/>
        </w:rPr>
        <w:t>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en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 error or fraud.</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47"/>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77777777"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 errors and fraud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48"/>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49"/>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50"/>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5" w:name="_Toc427833919"/>
      <w:bookmarkStart w:id="366" w:name="_Toc494959906"/>
      <w:bookmarkStart w:id="367" w:name="_Toc53399390"/>
      <w:bookmarkStart w:id="368" w:name="_Toc111791904"/>
      <w:bookmarkStart w:id="369" w:name="_Toc111798561"/>
      <w:bookmarkStart w:id="370" w:name="_Toc111798893"/>
      <w:bookmarkStart w:id="371" w:name="_Toc183503441"/>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5"/>
      <w:bookmarkEnd w:id="366"/>
      <w:bookmarkEnd w:id="367"/>
      <w:bookmarkEnd w:id="368"/>
      <w:bookmarkEnd w:id="369"/>
      <w:bookmarkEnd w:id="370"/>
      <w:bookmarkEnd w:id="371"/>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2"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51"/>
      </w:r>
      <w:bookmarkEnd w:id="372"/>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(naam verdwijnende vennootschap] based in … (vestigingsplaats verdwijnende vennootschap)</w:t>
      </w:r>
      <w:r w:rsidRPr="00C2635D">
        <w:rPr>
          <w:rFonts w:eastAsia="Calibri" w:cs="Arial"/>
          <w:vertAlign w:val="superscript"/>
          <w:lang w:eastAsia="en-US"/>
        </w:rPr>
        <w:footnoteReference w:id="352"/>
      </w:r>
      <w:r w:rsidRPr="00C2635D">
        <w:rPr>
          <w:rFonts w:eastAsia="Calibri" w:cs="Arial"/>
          <w:lang w:eastAsia="en-US"/>
        </w:rPr>
        <w:t xml:space="preserve"> (‘</w:t>
      </w:r>
      <w:r w:rsidR="00607982" w:rsidRPr="00C2635D">
        <w:rPr>
          <w:rFonts w:eastAsia="Calibri" w:cs="Arial"/>
          <w:lang w:eastAsia="en-US"/>
        </w:rPr>
        <w:t xml:space="preserve">the </w:t>
      </w:r>
      <w:r w:rsidRPr="00C2635D">
        <w:rPr>
          <w:rFonts w:eastAsia="Calibri" w:cs="Arial"/>
          <w:lang w:eastAsia="en-US"/>
        </w:rPr>
        <w:t xml:space="preserve">disappearing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and</w:t>
      </w:r>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(naam verkrijgende vennootschap] based in … (vestigingsplaats verkrijgende vennootschap] (‘</w:t>
      </w:r>
      <w:r w:rsidR="00607982" w:rsidRPr="00C2635D">
        <w:rPr>
          <w:rFonts w:eastAsia="Calibri" w:cs="Arial"/>
          <w:lang w:eastAsia="en-US"/>
        </w:rPr>
        <w:t xml:space="preserve">the </w:t>
      </w:r>
      <w:r w:rsidRPr="00C2635D">
        <w:rPr>
          <w:rFonts w:eastAsia="Calibri" w:cs="Arial"/>
          <w:lang w:eastAsia="en-US"/>
        </w:rPr>
        <w:t xml:space="preserve">acquiring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r w:rsidRPr="004A0BB5">
        <w:rPr>
          <w:rFonts w:eastAsia="Calibri" w:cs="Arial"/>
          <w:i/>
          <w:iCs/>
          <w:lang w:val="en-GB"/>
        </w:rPr>
        <w:t>Zie NB</w:t>
      </w:r>
      <w:r w:rsidR="004A0BB5" w:rsidRPr="004A0BB5">
        <w:rPr>
          <w:rFonts w:eastAsia="Calibri" w:cs="Arial"/>
          <w:i/>
          <w:iCs/>
          <w:lang w:val="en-GB"/>
        </w:rPr>
        <w:t>1</w:t>
      </w:r>
      <w:r w:rsidRPr="004A0BB5">
        <w:rPr>
          <w:rFonts w:eastAsia="Calibri" w:cs="Arial"/>
          <w:i/>
          <w:iCs/>
          <w:lang w:val="en-GB"/>
        </w:rPr>
        <w:t>-tekst boven de verklaring</w:t>
      </w:r>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r w:rsidR="00AD009A" w:rsidRPr="00377CB0">
        <w:rPr>
          <w:rFonts w:eastAsia="Calibri" w:cs="Arial"/>
          <w:i/>
          <w:iCs/>
          <w:lang w:val="en-GB" w:eastAsia="en-US"/>
        </w:rPr>
        <w:t xml:space="preserve">balansdatum resp. datum </w:t>
      </w:r>
      <w:r w:rsidR="00377CB0" w:rsidRPr="00377CB0">
        <w:rPr>
          <w:rFonts w:eastAsia="Calibri" w:cs="Arial"/>
          <w:i/>
          <w:iCs/>
          <w:lang w:val="en-GB" w:eastAsia="en-US"/>
        </w:rPr>
        <w:t>tussentijdse vermogensopstelling</w:t>
      </w:r>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r w:rsidR="00AD009A" w:rsidRPr="00C2635D">
        <w:rPr>
          <w:rFonts w:eastAsia="Calibri" w:cs="Arial"/>
          <w:b/>
          <w:i/>
          <w:lang w:val="en-GB" w:eastAsia="en-US"/>
        </w:rPr>
        <w:t>optioneel</w:t>
      </w:r>
      <w:r w:rsidR="00AD009A" w:rsidRPr="00C2635D">
        <w:rPr>
          <w:rFonts w:eastAsia="Calibri" w:cs="Arial"/>
          <w:i/>
          <w:lang w:val="en-GB" w:eastAsia="en-US"/>
        </w:rPr>
        <w:t>: increased with the cash payments to which they are entitled according to the proposed share exchange ratio [</w:t>
      </w:r>
      <w:r w:rsidR="00AD009A" w:rsidRPr="00C2635D">
        <w:rPr>
          <w:rFonts w:eastAsia="Calibri" w:cs="Arial"/>
          <w:b/>
          <w:i/>
          <w:lang w:val="en-GB" w:eastAsia="en-US"/>
        </w:rPr>
        <w:t>optioneel</w:t>
      </w:r>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53"/>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r w:rsidR="00AD009A" w:rsidRPr="003D04E4">
        <w:rPr>
          <w:rFonts w:eastAsia="Calibri" w:cs="Arial"/>
          <w:i/>
          <w:iCs/>
          <w:lang w:val="en-GB"/>
        </w:rPr>
        <w:t>balansdatum resp. datum t</w:t>
      </w:r>
      <w:r w:rsidR="003D04E4" w:rsidRPr="003D04E4">
        <w:rPr>
          <w:rFonts w:eastAsia="Calibri" w:cs="Arial"/>
          <w:i/>
          <w:iCs/>
          <w:lang w:val="en-GB"/>
        </w:rPr>
        <w:t>ussentijdse vermogensopstelling</w:t>
      </w:r>
      <w:r w:rsidR="00AD009A" w:rsidRPr="00C2635D">
        <w:rPr>
          <w:rFonts w:eastAsia="Calibri" w:cs="Arial"/>
          <w:lang w:val="en-GB"/>
        </w:rPr>
        <w:t>)</w:t>
      </w:r>
      <w:r w:rsidR="00AD009A" w:rsidRPr="00C2635D">
        <w:rPr>
          <w:rFonts w:eastAsia="Calibri" w:cs="Arial"/>
          <w:vertAlign w:val="superscript"/>
          <w:lang w:val="en-GB"/>
        </w:rPr>
        <w:footnoteReference w:id="354"/>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r w:rsidR="00AD009A" w:rsidRPr="00C2635D">
        <w:rPr>
          <w:rFonts w:eastAsia="Calibri" w:cs="Arial"/>
          <w:b/>
          <w:i/>
          <w:lang w:val="en-GB"/>
        </w:rPr>
        <w:t>optioneel</w:t>
      </w:r>
      <w:r w:rsidR="00AD009A" w:rsidRPr="00C2635D">
        <w:rPr>
          <w:rFonts w:eastAsia="Calibri" w:cs="Arial"/>
          <w:i/>
          <w:lang w:val="en-GB"/>
        </w:rPr>
        <w:t>: increased with the cash payments to which they are entitled according to the proposed share exchange ratio [</w:t>
      </w:r>
      <w:r w:rsidR="00AD009A" w:rsidRPr="00C2635D">
        <w:rPr>
          <w:rFonts w:eastAsia="Calibri" w:cs="Arial"/>
          <w:b/>
          <w:lang w:val="en-GB"/>
        </w:rPr>
        <w:t>optioneel</w:t>
      </w:r>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Code].[Zie noot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(namen van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55"/>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77777777"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 error or fraud.</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56"/>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and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77777777"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 errors and fraud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57"/>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r w:rsidR="006A19F3" w:rsidRPr="00C2635D">
        <w:rPr>
          <w:rFonts w:eastAsia="Calibri" w:cs="Arial"/>
          <w:lang w:val="en-US"/>
        </w:rPr>
        <w:t>scepticism</w:t>
      </w:r>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58"/>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59"/>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3" w:name="_Toc494959907"/>
      <w:bookmarkStart w:id="374" w:name="_Toc53399391"/>
      <w:bookmarkStart w:id="375" w:name="_Toc111791905"/>
      <w:bookmarkStart w:id="376" w:name="_Toc111798562"/>
      <w:bookmarkStart w:id="377" w:name="_Toc111798894"/>
      <w:bookmarkStart w:id="378" w:name="_Toc183503442"/>
      <w:r w:rsidRPr="00C2635D">
        <w:t>18.3 Accountantsverslag betreffende de mededelingen omtrent de ruilverhouding van de aandelen in de toelichting bij een voorstel tot juridische fusie (artikel 2:328 lid 2 BW)</w:t>
      </w:r>
      <w:bookmarkEnd w:id="373"/>
      <w:bookmarkEnd w:id="374"/>
      <w:bookmarkEnd w:id="375"/>
      <w:bookmarkEnd w:id="376"/>
      <w:bookmarkEnd w:id="377"/>
      <w:bookmarkEnd w:id="378"/>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60"/>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(naam verdwijnende vennootschap) based in … (vestigingsplaats)</w:t>
      </w:r>
      <w:r w:rsidRPr="00C2635D">
        <w:rPr>
          <w:rFonts w:eastAsia="Calibri" w:cs="Arial"/>
          <w:lang w:eastAsia="en-US"/>
        </w:rPr>
        <w:footnoteReference w:id="361"/>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and</w:t>
      </w:r>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(naam verkrijgende vennootschap) based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62"/>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77777777"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77777777"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 errors and fraud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 xml:space="preserve">We apply the ‘Nadere voorschriften kwaliteitssystemen’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(opdrachtspecifieke werkzaamheden).</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4"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4"/>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0"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0"/>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In lijn met paragraaf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738BC0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aan de situatie zoals bedoeld in de regelgeving.</w:t>
      </w:r>
    </w:p>
  </w:footnote>
  <w:footnote w:id="230">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31">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2">
    <w:p w14:paraId="3EBFBAF6"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for …, concerning … (naam subsidieregeling) of … (naam entiteit(en)), as at 31 December </w:t>
      </w:r>
      <w:r>
        <w:rPr>
          <w:rFonts w:cs="Arial"/>
          <w:sz w:val="16"/>
          <w:szCs w:val="16"/>
        </w:rPr>
        <w:t>YYYY</w:t>
      </w:r>
      <w:r w:rsidRPr="000A5E75">
        <w:rPr>
          <w:rFonts w:cs="Arial"/>
          <w:sz w:val="16"/>
          <w:szCs w:val="16"/>
        </w:rPr>
        <w:t xml:space="preserve"> properly reflect, in al material respects, in accordance with ….’</w:t>
      </w:r>
    </w:p>
  </w:footnote>
  <w:footnote w:id="233">
    <w:p w14:paraId="5C74465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34">
    <w:p w14:paraId="73BC0C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NB3.</w:t>
      </w:r>
    </w:p>
  </w:footnote>
  <w:footnote w:id="235">
    <w:p w14:paraId="104570A5" w14:textId="77777777" w:rsidR="00513248" w:rsidRPr="00513248" w:rsidRDefault="00513248" w:rsidP="00513248">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52FF2A01" w14:textId="77777777" w:rsidR="00513248" w:rsidRPr="0031292E" w:rsidRDefault="00513248" w:rsidP="00513248">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21FB4DD1"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40E52284"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316A08C2"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4BDEB60B" w14:textId="77777777" w:rsidR="00513248" w:rsidRPr="00513248" w:rsidRDefault="00513248" w:rsidP="00513248">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6">
    <w:p w14:paraId="39FAAD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7">
    <w:p w14:paraId="60D8F1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8">
    <w:p w14:paraId="7DBB174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39">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0">
    <w:p w14:paraId="5D3E69D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66E9E2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4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4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50">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3">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4">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5">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56">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7">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58">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59">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0">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1">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2">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3">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4">
    <w:p w14:paraId="51490C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65">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266">
    <w:p w14:paraId="54FD709F" w14:textId="77777777" w:rsidR="0057200E" w:rsidRPr="000A5E75"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267">
    <w:p w14:paraId="19D66E63" w14:textId="77777777" w:rsidR="0057200E" w:rsidRPr="008602B9" w:rsidRDefault="0057200E">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268">
    <w:p w14:paraId="525591A6"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269">
    <w:p w14:paraId="37C1644C"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270">
    <w:p w14:paraId="11318D0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271">
    <w:p w14:paraId="34FC22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272">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3">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74">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75">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276">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8">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9">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0">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1">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2">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283">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84">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85">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86">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7">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8">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9">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0">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1">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92">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93">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94">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95">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96">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7">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8">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9">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00">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01">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02">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03">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04">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05">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06">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7">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8">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09">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Uit te breiden met opdrachtspecifieke werkzaamheden. Naarmate de opdracht specifieker is, zijn de werkzaamheden ook nauwkeuriger te omschrijven.</w:t>
      </w:r>
    </w:p>
  </w:footnote>
  <w:footnote w:id="310">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1">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2">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13">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Uit te breiden met opdrachtspecifieke werkzaamheden. Naarmate de opdracht specifieker is, zijn de werkzaamheden ook nauwkeuriger te omschrijven.</w:t>
      </w:r>
    </w:p>
  </w:footnote>
  <w:footnote w:id="314">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5">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6">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17">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18">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19">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20">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1">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2">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0"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0"/>
    </w:p>
  </w:footnote>
  <w:footnote w:id="323">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24">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25">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26">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7">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8">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29">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30">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31">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32">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3">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34">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5">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6">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3"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3"/>
    </w:p>
  </w:footnote>
  <w:footnote w:id="337">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38">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9">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0">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41">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2">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3">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4">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45">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6">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47">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48">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49">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0">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51">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52">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3">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54">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55">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56">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57">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58">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9">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60">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61">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62">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8"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0"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3"/>
  </w:num>
  <w:num w:numId="3" w16cid:durableId="670067849">
    <w:abstractNumId w:val="38"/>
  </w:num>
  <w:num w:numId="4" w16cid:durableId="569195883">
    <w:abstractNumId w:val="24"/>
  </w:num>
  <w:num w:numId="5" w16cid:durableId="1929314960">
    <w:abstractNumId w:val="58"/>
  </w:num>
  <w:num w:numId="6" w16cid:durableId="1782334876">
    <w:abstractNumId w:val="67"/>
  </w:num>
  <w:num w:numId="7" w16cid:durableId="1394158839">
    <w:abstractNumId w:val="29"/>
  </w:num>
  <w:num w:numId="8" w16cid:durableId="973371624">
    <w:abstractNumId w:val="47"/>
  </w:num>
  <w:num w:numId="9" w16cid:durableId="762994495">
    <w:abstractNumId w:val="8"/>
  </w:num>
  <w:num w:numId="10" w16cid:durableId="1168597241">
    <w:abstractNumId w:val="57"/>
  </w:num>
  <w:num w:numId="11" w16cid:durableId="1872953532">
    <w:abstractNumId w:val="65"/>
  </w:num>
  <w:num w:numId="12" w16cid:durableId="1403798638">
    <w:abstractNumId w:val="11"/>
  </w:num>
  <w:num w:numId="13" w16cid:durableId="2000380296">
    <w:abstractNumId w:val="15"/>
  </w:num>
  <w:num w:numId="14" w16cid:durableId="1501383833">
    <w:abstractNumId w:val="71"/>
  </w:num>
  <w:num w:numId="15" w16cid:durableId="1198859602">
    <w:abstractNumId w:val="53"/>
  </w:num>
  <w:num w:numId="16" w16cid:durableId="1778402166">
    <w:abstractNumId w:val="64"/>
  </w:num>
  <w:num w:numId="17" w16cid:durableId="1451820733">
    <w:abstractNumId w:val="23"/>
  </w:num>
  <w:num w:numId="18" w16cid:durableId="1107193471">
    <w:abstractNumId w:val="31"/>
  </w:num>
  <w:num w:numId="19" w16cid:durableId="875316938">
    <w:abstractNumId w:val="51"/>
  </w:num>
  <w:num w:numId="20" w16cid:durableId="2129860064">
    <w:abstractNumId w:val="83"/>
  </w:num>
  <w:num w:numId="21" w16cid:durableId="1795824557">
    <w:abstractNumId w:val="32"/>
  </w:num>
  <w:num w:numId="22" w16cid:durableId="1659337898">
    <w:abstractNumId w:val="76"/>
  </w:num>
  <w:num w:numId="23" w16cid:durableId="2056732737">
    <w:abstractNumId w:val="25"/>
  </w:num>
  <w:num w:numId="24" w16cid:durableId="936865541">
    <w:abstractNumId w:val="3"/>
  </w:num>
  <w:num w:numId="25" w16cid:durableId="1712653508">
    <w:abstractNumId w:val="46"/>
  </w:num>
  <w:num w:numId="26" w16cid:durableId="108471230">
    <w:abstractNumId w:val="34"/>
  </w:num>
  <w:num w:numId="27" w16cid:durableId="1917935206">
    <w:abstractNumId w:val="2"/>
  </w:num>
  <w:num w:numId="28" w16cid:durableId="789201726">
    <w:abstractNumId w:val="19"/>
  </w:num>
  <w:num w:numId="29" w16cid:durableId="1728722918">
    <w:abstractNumId w:val="86"/>
  </w:num>
  <w:num w:numId="30" w16cid:durableId="587663603">
    <w:abstractNumId w:val="61"/>
  </w:num>
  <w:num w:numId="31" w16cid:durableId="72166324">
    <w:abstractNumId w:val="7"/>
  </w:num>
  <w:num w:numId="32" w16cid:durableId="1631325735">
    <w:abstractNumId w:val="66"/>
  </w:num>
  <w:num w:numId="33" w16cid:durableId="1629237958">
    <w:abstractNumId w:val="5"/>
  </w:num>
  <w:num w:numId="34" w16cid:durableId="91096366">
    <w:abstractNumId w:val="81"/>
  </w:num>
  <w:num w:numId="35" w16cid:durableId="1654214612">
    <w:abstractNumId w:val="28"/>
  </w:num>
  <w:num w:numId="36" w16cid:durableId="1082335286">
    <w:abstractNumId w:val="20"/>
  </w:num>
  <w:num w:numId="37" w16cid:durableId="2051613263">
    <w:abstractNumId w:val="0"/>
  </w:num>
  <w:num w:numId="38" w16cid:durableId="1577010184">
    <w:abstractNumId w:val="6"/>
  </w:num>
  <w:num w:numId="39" w16cid:durableId="1804347248">
    <w:abstractNumId w:val="72"/>
  </w:num>
  <w:num w:numId="40" w16cid:durableId="713313005">
    <w:abstractNumId w:val="90"/>
  </w:num>
  <w:num w:numId="41" w16cid:durableId="568879077">
    <w:abstractNumId w:val="89"/>
  </w:num>
  <w:num w:numId="42" w16cid:durableId="592398037">
    <w:abstractNumId w:val="85"/>
  </w:num>
  <w:num w:numId="43" w16cid:durableId="539318759">
    <w:abstractNumId w:val="56"/>
  </w:num>
  <w:num w:numId="44" w16cid:durableId="1200241800">
    <w:abstractNumId w:val="18"/>
  </w:num>
  <w:num w:numId="45" w16cid:durableId="1990161001">
    <w:abstractNumId w:val="42"/>
  </w:num>
  <w:num w:numId="46" w16cid:durableId="1726756154">
    <w:abstractNumId w:val="88"/>
  </w:num>
  <w:num w:numId="47" w16cid:durableId="1095902359">
    <w:abstractNumId w:val="59"/>
  </w:num>
  <w:num w:numId="48" w16cid:durableId="2112124272">
    <w:abstractNumId w:val="44"/>
  </w:num>
  <w:num w:numId="49" w16cid:durableId="441270091">
    <w:abstractNumId w:val="75"/>
  </w:num>
  <w:num w:numId="50" w16cid:durableId="1608463970">
    <w:abstractNumId w:val="70"/>
  </w:num>
  <w:num w:numId="51" w16cid:durableId="383528737">
    <w:abstractNumId w:val="12"/>
  </w:num>
  <w:num w:numId="52" w16cid:durableId="1394936833">
    <w:abstractNumId w:val="49"/>
  </w:num>
  <w:num w:numId="53" w16cid:durableId="640619856">
    <w:abstractNumId w:val="77"/>
  </w:num>
  <w:num w:numId="54" w16cid:durableId="1366979894">
    <w:abstractNumId w:val="1"/>
  </w:num>
  <w:num w:numId="55" w16cid:durableId="1540971687">
    <w:abstractNumId w:val="55"/>
  </w:num>
  <w:num w:numId="56" w16cid:durableId="771241990">
    <w:abstractNumId w:val="69"/>
  </w:num>
  <w:num w:numId="57" w16cid:durableId="157963473">
    <w:abstractNumId w:val="13"/>
  </w:num>
  <w:num w:numId="58" w16cid:durableId="400568348">
    <w:abstractNumId w:val="36"/>
  </w:num>
  <w:num w:numId="59" w16cid:durableId="1314213530">
    <w:abstractNumId w:val="63"/>
  </w:num>
  <w:num w:numId="60" w16cid:durableId="1012801538">
    <w:abstractNumId w:val="84"/>
  </w:num>
  <w:num w:numId="61" w16cid:durableId="1461267338">
    <w:abstractNumId w:val="26"/>
  </w:num>
  <w:num w:numId="62" w16cid:durableId="298413445">
    <w:abstractNumId w:val="80"/>
  </w:num>
  <w:num w:numId="63" w16cid:durableId="1685084708">
    <w:abstractNumId w:val="35"/>
  </w:num>
  <w:num w:numId="64" w16cid:durableId="624652625">
    <w:abstractNumId w:val="30"/>
  </w:num>
  <w:num w:numId="65" w16cid:durableId="204217243">
    <w:abstractNumId w:val="10"/>
  </w:num>
  <w:num w:numId="66" w16cid:durableId="1004555612">
    <w:abstractNumId w:val="92"/>
  </w:num>
  <w:num w:numId="67" w16cid:durableId="385683820">
    <w:abstractNumId w:val="40"/>
  </w:num>
  <w:num w:numId="68" w16cid:durableId="357128154">
    <w:abstractNumId w:val="52"/>
  </w:num>
  <w:num w:numId="69" w16cid:durableId="221872024">
    <w:abstractNumId w:val="54"/>
  </w:num>
  <w:num w:numId="70" w16cid:durableId="1217932168">
    <w:abstractNumId w:val="79"/>
  </w:num>
  <w:num w:numId="71" w16cid:durableId="1241020166">
    <w:abstractNumId w:val="78"/>
  </w:num>
  <w:num w:numId="72" w16cid:durableId="1842162860">
    <w:abstractNumId w:val="62"/>
  </w:num>
  <w:num w:numId="73" w16cid:durableId="2033334117">
    <w:abstractNumId w:val="91"/>
  </w:num>
  <w:num w:numId="74" w16cid:durableId="1265503698">
    <w:abstractNumId w:val="45"/>
  </w:num>
  <w:num w:numId="75" w16cid:durableId="1885868919">
    <w:abstractNumId w:val="73"/>
  </w:num>
  <w:num w:numId="76" w16cid:durableId="2088503138">
    <w:abstractNumId w:val="27"/>
  </w:num>
  <w:num w:numId="77" w16cid:durableId="1659841921">
    <w:abstractNumId w:val="68"/>
  </w:num>
  <w:num w:numId="78" w16cid:durableId="2040087145">
    <w:abstractNumId w:val="16"/>
  </w:num>
  <w:num w:numId="79" w16cid:durableId="2090148838">
    <w:abstractNumId w:val="17"/>
  </w:num>
  <w:num w:numId="80" w16cid:durableId="1118332432">
    <w:abstractNumId w:val="48"/>
  </w:num>
  <w:num w:numId="81" w16cid:durableId="1261644272">
    <w:abstractNumId w:val="41"/>
  </w:num>
  <w:num w:numId="82" w16cid:durableId="135146689">
    <w:abstractNumId w:val="39"/>
  </w:num>
  <w:num w:numId="83" w16cid:durableId="506988390">
    <w:abstractNumId w:val="9"/>
  </w:num>
  <w:num w:numId="84" w16cid:durableId="256720482">
    <w:abstractNumId w:val="60"/>
  </w:num>
  <w:num w:numId="85" w16cid:durableId="1986079047">
    <w:abstractNumId w:val="37"/>
  </w:num>
  <w:num w:numId="86" w16cid:durableId="1049189807">
    <w:abstractNumId w:val="21"/>
  </w:num>
  <w:num w:numId="87" w16cid:durableId="1467770747">
    <w:abstractNumId w:val="74"/>
  </w:num>
  <w:num w:numId="88" w16cid:durableId="868418545">
    <w:abstractNumId w:val="14"/>
  </w:num>
  <w:num w:numId="89" w16cid:durableId="1548764313">
    <w:abstractNumId w:val="4"/>
  </w:num>
  <w:num w:numId="90" w16cid:durableId="1385905367">
    <w:abstractNumId w:val="50"/>
  </w:num>
  <w:num w:numId="91" w16cid:durableId="884876630">
    <w:abstractNumId w:val="33"/>
  </w:num>
  <w:num w:numId="92" w16cid:durableId="26293491">
    <w:abstractNumId w:val="82"/>
  </w:num>
  <w:num w:numId="93" w16cid:durableId="138807868">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1197"/>
    <w:rsid w:val="000313F4"/>
    <w:rsid w:val="000318B4"/>
    <w:rsid w:val="000321BA"/>
    <w:rsid w:val="00032746"/>
    <w:rsid w:val="000347CE"/>
    <w:rsid w:val="00034E06"/>
    <w:rsid w:val="00035732"/>
    <w:rsid w:val="00035CAA"/>
    <w:rsid w:val="00037FCF"/>
    <w:rsid w:val="000413EE"/>
    <w:rsid w:val="00041DF9"/>
    <w:rsid w:val="00041E99"/>
    <w:rsid w:val="0004260A"/>
    <w:rsid w:val="00045B2C"/>
    <w:rsid w:val="00045E1E"/>
    <w:rsid w:val="00046D15"/>
    <w:rsid w:val="0005071A"/>
    <w:rsid w:val="00051C5E"/>
    <w:rsid w:val="00052226"/>
    <w:rsid w:val="000524DC"/>
    <w:rsid w:val="00053C6B"/>
    <w:rsid w:val="000540BE"/>
    <w:rsid w:val="00054437"/>
    <w:rsid w:val="00054A06"/>
    <w:rsid w:val="000551E6"/>
    <w:rsid w:val="00055DBC"/>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19D1"/>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30825"/>
    <w:rsid w:val="00130E6F"/>
    <w:rsid w:val="001310CD"/>
    <w:rsid w:val="001322B6"/>
    <w:rsid w:val="00132F51"/>
    <w:rsid w:val="00133307"/>
    <w:rsid w:val="00133521"/>
    <w:rsid w:val="00133DE7"/>
    <w:rsid w:val="00133FDE"/>
    <w:rsid w:val="001344B8"/>
    <w:rsid w:val="00135324"/>
    <w:rsid w:val="00136016"/>
    <w:rsid w:val="00136622"/>
    <w:rsid w:val="00144BDB"/>
    <w:rsid w:val="0014515D"/>
    <w:rsid w:val="001467F4"/>
    <w:rsid w:val="00146E0C"/>
    <w:rsid w:val="00150512"/>
    <w:rsid w:val="00150A60"/>
    <w:rsid w:val="00150D3B"/>
    <w:rsid w:val="001512A2"/>
    <w:rsid w:val="00151F29"/>
    <w:rsid w:val="00152187"/>
    <w:rsid w:val="00154331"/>
    <w:rsid w:val="00155B54"/>
    <w:rsid w:val="00155BE5"/>
    <w:rsid w:val="00155EEF"/>
    <w:rsid w:val="00156EC4"/>
    <w:rsid w:val="00160160"/>
    <w:rsid w:val="0016180C"/>
    <w:rsid w:val="00163A1E"/>
    <w:rsid w:val="00164552"/>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062"/>
    <w:rsid w:val="001938C8"/>
    <w:rsid w:val="001954DA"/>
    <w:rsid w:val="001969AF"/>
    <w:rsid w:val="00196B16"/>
    <w:rsid w:val="0019724C"/>
    <w:rsid w:val="001A1F66"/>
    <w:rsid w:val="001A2597"/>
    <w:rsid w:val="001A3B0C"/>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1CCA"/>
    <w:rsid w:val="001E1D4C"/>
    <w:rsid w:val="001E3431"/>
    <w:rsid w:val="001E3FCC"/>
    <w:rsid w:val="001E455D"/>
    <w:rsid w:val="001E5BD2"/>
    <w:rsid w:val="001F3DB5"/>
    <w:rsid w:val="001F4117"/>
    <w:rsid w:val="001F413F"/>
    <w:rsid w:val="001F422C"/>
    <w:rsid w:val="001F7B0C"/>
    <w:rsid w:val="001F7F99"/>
    <w:rsid w:val="00201F57"/>
    <w:rsid w:val="00203816"/>
    <w:rsid w:val="00203C38"/>
    <w:rsid w:val="002050AF"/>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74872"/>
    <w:rsid w:val="00274C98"/>
    <w:rsid w:val="002772DF"/>
    <w:rsid w:val="00277A5E"/>
    <w:rsid w:val="00277EC3"/>
    <w:rsid w:val="00280483"/>
    <w:rsid w:val="0028075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2127"/>
    <w:rsid w:val="002A32D4"/>
    <w:rsid w:val="002A3402"/>
    <w:rsid w:val="002A3C22"/>
    <w:rsid w:val="002A4B67"/>
    <w:rsid w:val="002A4DDA"/>
    <w:rsid w:val="002A5244"/>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3105"/>
    <w:rsid w:val="00444526"/>
    <w:rsid w:val="00445DCC"/>
    <w:rsid w:val="00447B89"/>
    <w:rsid w:val="00450598"/>
    <w:rsid w:val="00455450"/>
    <w:rsid w:val="0045641E"/>
    <w:rsid w:val="004569F8"/>
    <w:rsid w:val="00456ED0"/>
    <w:rsid w:val="00471BFC"/>
    <w:rsid w:val="004720E4"/>
    <w:rsid w:val="004722C4"/>
    <w:rsid w:val="00474E7F"/>
    <w:rsid w:val="0048005C"/>
    <w:rsid w:val="004804F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31A6"/>
    <w:rsid w:val="00524956"/>
    <w:rsid w:val="00524C78"/>
    <w:rsid w:val="005276D9"/>
    <w:rsid w:val="005301BE"/>
    <w:rsid w:val="00532740"/>
    <w:rsid w:val="0053508E"/>
    <w:rsid w:val="00536637"/>
    <w:rsid w:val="0053727C"/>
    <w:rsid w:val="00537CA0"/>
    <w:rsid w:val="00540869"/>
    <w:rsid w:val="005419AF"/>
    <w:rsid w:val="005427FF"/>
    <w:rsid w:val="005511CE"/>
    <w:rsid w:val="00551CE5"/>
    <w:rsid w:val="0055248F"/>
    <w:rsid w:val="00561284"/>
    <w:rsid w:val="0056261F"/>
    <w:rsid w:val="005654CF"/>
    <w:rsid w:val="00570266"/>
    <w:rsid w:val="005707A7"/>
    <w:rsid w:val="00571601"/>
    <w:rsid w:val="0057200E"/>
    <w:rsid w:val="00572DC5"/>
    <w:rsid w:val="00575736"/>
    <w:rsid w:val="0057613D"/>
    <w:rsid w:val="00576774"/>
    <w:rsid w:val="00576835"/>
    <w:rsid w:val="0058001D"/>
    <w:rsid w:val="0058087A"/>
    <w:rsid w:val="00580CA2"/>
    <w:rsid w:val="005817D8"/>
    <w:rsid w:val="0058659D"/>
    <w:rsid w:val="005872FD"/>
    <w:rsid w:val="00587F77"/>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86A"/>
    <w:rsid w:val="005E293B"/>
    <w:rsid w:val="005E3649"/>
    <w:rsid w:val="005E3B29"/>
    <w:rsid w:val="005E67D5"/>
    <w:rsid w:val="005E787B"/>
    <w:rsid w:val="005F0157"/>
    <w:rsid w:val="005F15A6"/>
    <w:rsid w:val="005F1F2C"/>
    <w:rsid w:val="005F56F1"/>
    <w:rsid w:val="00600422"/>
    <w:rsid w:val="00600633"/>
    <w:rsid w:val="0060063B"/>
    <w:rsid w:val="00601BE7"/>
    <w:rsid w:val="0060263A"/>
    <w:rsid w:val="0060286A"/>
    <w:rsid w:val="00602EC6"/>
    <w:rsid w:val="00603617"/>
    <w:rsid w:val="00603AB3"/>
    <w:rsid w:val="00604CA3"/>
    <w:rsid w:val="00606E6D"/>
    <w:rsid w:val="006072E5"/>
    <w:rsid w:val="00607982"/>
    <w:rsid w:val="00607A71"/>
    <w:rsid w:val="00610AC6"/>
    <w:rsid w:val="006115E9"/>
    <w:rsid w:val="0061204E"/>
    <w:rsid w:val="0061435B"/>
    <w:rsid w:val="00615A0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F47"/>
    <w:rsid w:val="006363CF"/>
    <w:rsid w:val="00636748"/>
    <w:rsid w:val="00637B63"/>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806AE"/>
    <w:rsid w:val="00680F5C"/>
    <w:rsid w:val="00681038"/>
    <w:rsid w:val="00681686"/>
    <w:rsid w:val="00682D38"/>
    <w:rsid w:val="00684196"/>
    <w:rsid w:val="00684893"/>
    <w:rsid w:val="006861F0"/>
    <w:rsid w:val="00686B62"/>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430"/>
    <w:rsid w:val="006C4B22"/>
    <w:rsid w:val="006C6879"/>
    <w:rsid w:val="006C7EEC"/>
    <w:rsid w:val="006D11F6"/>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45EB4"/>
    <w:rsid w:val="00752238"/>
    <w:rsid w:val="00752F60"/>
    <w:rsid w:val="00752F7B"/>
    <w:rsid w:val="00754F35"/>
    <w:rsid w:val="00756523"/>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984"/>
    <w:rsid w:val="007759E4"/>
    <w:rsid w:val="007776F1"/>
    <w:rsid w:val="00780548"/>
    <w:rsid w:val="00781648"/>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3370"/>
    <w:rsid w:val="007C3549"/>
    <w:rsid w:val="007D019B"/>
    <w:rsid w:val="007D2222"/>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74BE"/>
    <w:rsid w:val="00821B5D"/>
    <w:rsid w:val="00821CCF"/>
    <w:rsid w:val="00821CE3"/>
    <w:rsid w:val="0082365D"/>
    <w:rsid w:val="0082587B"/>
    <w:rsid w:val="00825CB9"/>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679C"/>
    <w:rsid w:val="008A3B52"/>
    <w:rsid w:val="008A46D2"/>
    <w:rsid w:val="008A6460"/>
    <w:rsid w:val="008A6522"/>
    <w:rsid w:val="008A76A4"/>
    <w:rsid w:val="008B0742"/>
    <w:rsid w:val="008B239A"/>
    <w:rsid w:val="008B6214"/>
    <w:rsid w:val="008C1925"/>
    <w:rsid w:val="008C6D86"/>
    <w:rsid w:val="008D0E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5A3"/>
    <w:rsid w:val="00914730"/>
    <w:rsid w:val="0091487E"/>
    <w:rsid w:val="009148F4"/>
    <w:rsid w:val="009156FB"/>
    <w:rsid w:val="00915DAF"/>
    <w:rsid w:val="009202A0"/>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C0706"/>
    <w:rsid w:val="009C0DE4"/>
    <w:rsid w:val="009C1BDA"/>
    <w:rsid w:val="009C299A"/>
    <w:rsid w:val="009C2B0D"/>
    <w:rsid w:val="009C33F3"/>
    <w:rsid w:val="009C4651"/>
    <w:rsid w:val="009C7271"/>
    <w:rsid w:val="009C7B91"/>
    <w:rsid w:val="009D0D8A"/>
    <w:rsid w:val="009D1239"/>
    <w:rsid w:val="009D27CE"/>
    <w:rsid w:val="009D500A"/>
    <w:rsid w:val="009D52E6"/>
    <w:rsid w:val="009D5318"/>
    <w:rsid w:val="009D6B02"/>
    <w:rsid w:val="009D7D57"/>
    <w:rsid w:val="009E08BD"/>
    <w:rsid w:val="009E20D3"/>
    <w:rsid w:val="009E377E"/>
    <w:rsid w:val="009E4D84"/>
    <w:rsid w:val="009E6BFF"/>
    <w:rsid w:val="009F1511"/>
    <w:rsid w:val="009F30D4"/>
    <w:rsid w:val="009F33E3"/>
    <w:rsid w:val="009F52D8"/>
    <w:rsid w:val="00A02BBC"/>
    <w:rsid w:val="00A036DB"/>
    <w:rsid w:val="00A03FC8"/>
    <w:rsid w:val="00A03FD2"/>
    <w:rsid w:val="00A06ADE"/>
    <w:rsid w:val="00A06BCD"/>
    <w:rsid w:val="00A0722E"/>
    <w:rsid w:val="00A10B00"/>
    <w:rsid w:val="00A10B7D"/>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17B1"/>
    <w:rsid w:val="00AB23AF"/>
    <w:rsid w:val="00AB2663"/>
    <w:rsid w:val="00AB2B85"/>
    <w:rsid w:val="00AB3DB9"/>
    <w:rsid w:val="00AB66BF"/>
    <w:rsid w:val="00AB71CA"/>
    <w:rsid w:val="00AC03D4"/>
    <w:rsid w:val="00AC0F64"/>
    <w:rsid w:val="00AC246A"/>
    <w:rsid w:val="00AC36C4"/>
    <w:rsid w:val="00AC386B"/>
    <w:rsid w:val="00AC3CC7"/>
    <w:rsid w:val="00AD009A"/>
    <w:rsid w:val="00AD134C"/>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41FE"/>
    <w:rsid w:val="00B15E30"/>
    <w:rsid w:val="00B15ECF"/>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26A6"/>
    <w:rsid w:val="00B929BA"/>
    <w:rsid w:val="00B929CF"/>
    <w:rsid w:val="00B93A87"/>
    <w:rsid w:val="00B94EFA"/>
    <w:rsid w:val="00B9559A"/>
    <w:rsid w:val="00B9655C"/>
    <w:rsid w:val="00B977BC"/>
    <w:rsid w:val="00BA09E0"/>
    <w:rsid w:val="00BA0ECB"/>
    <w:rsid w:val="00BA25EE"/>
    <w:rsid w:val="00BA41EA"/>
    <w:rsid w:val="00BA68DA"/>
    <w:rsid w:val="00BA7A3E"/>
    <w:rsid w:val="00BB086C"/>
    <w:rsid w:val="00BB3194"/>
    <w:rsid w:val="00BB331C"/>
    <w:rsid w:val="00BB574D"/>
    <w:rsid w:val="00BB614D"/>
    <w:rsid w:val="00BB7F33"/>
    <w:rsid w:val="00BC2B0B"/>
    <w:rsid w:val="00BC2BDD"/>
    <w:rsid w:val="00BC374F"/>
    <w:rsid w:val="00BC4943"/>
    <w:rsid w:val="00BC53AA"/>
    <w:rsid w:val="00BD1091"/>
    <w:rsid w:val="00BD1BD6"/>
    <w:rsid w:val="00BD20BD"/>
    <w:rsid w:val="00BD2627"/>
    <w:rsid w:val="00BD31EF"/>
    <w:rsid w:val="00BD61EC"/>
    <w:rsid w:val="00BD62B4"/>
    <w:rsid w:val="00BD6FBD"/>
    <w:rsid w:val="00BE03F7"/>
    <w:rsid w:val="00BE2380"/>
    <w:rsid w:val="00BE2DFA"/>
    <w:rsid w:val="00BE5784"/>
    <w:rsid w:val="00BE5A72"/>
    <w:rsid w:val="00BE5FCF"/>
    <w:rsid w:val="00BE6E5F"/>
    <w:rsid w:val="00BE750C"/>
    <w:rsid w:val="00BE75B6"/>
    <w:rsid w:val="00BE7661"/>
    <w:rsid w:val="00BF0446"/>
    <w:rsid w:val="00BF1EA2"/>
    <w:rsid w:val="00BF5816"/>
    <w:rsid w:val="00BF5F62"/>
    <w:rsid w:val="00C02334"/>
    <w:rsid w:val="00C02DAD"/>
    <w:rsid w:val="00C042C2"/>
    <w:rsid w:val="00C06CA6"/>
    <w:rsid w:val="00C122CD"/>
    <w:rsid w:val="00C154C3"/>
    <w:rsid w:val="00C15549"/>
    <w:rsid w:val="00C16AC6"/>
    <w:rsid w:val="00C2012F"/>
    <w:rsid w:val="00C23392"/>
    <w:rsid w:val="00C238EA"/>
    <w:rsid w:val="00C24FB1"/>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B1C72"/>
    <w:rsid w:val="00CB1D18"/>
    <w:rsid w:val="00CB2461"/>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519C"/>
    <w:rsid w:val="00D2607B"/>
    <w:rsid w:val="00D279F6"/>
    <w:rsid w:val="00D32644"/>
    <w:rsid w:val="00D35747"/>
    <w:rsid w:val="00D41122"/>
    <w:rsid w:val="00D46695"/>
    <w:rsid w:val="00D4678D"/>
    <w:rsid w:val="00D47567"/>
    <w:rsid w:val="00D52A91"/>
    <w:rsid w:val="00D53686"/>
    <w:rsid w:val="00D55F92"/>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2EA"/>
    <w:rsid w:val="00DA4881"/>
    <w:rsid w:val="00DA49E7"/>
    <w:rsid w:val="00DA7277"/>
    <w:rsid w:val="00DA72DC"/>
    <w:rsid w:val="00DA73D7"/>
    <w:rsid w:val="00DB04CE"/>
    <w:rsid w:val="00DB32A6"/>
    <w:rsid w:val="00DB3F3F"/>
    <w:rsid w:val="00DB473D"/>
    <w:rsid w:val="00DC3768"/>
    <w:rsid w:val="00DC4185"/>
    <w:rsid w:val="00DC47C9"/>
    <w:rsid w:val="00DC6F8B"/>
    <w:rsid w:val="00DD20F1"/>
    <w:rsid w:val="00DD2670"/>
    <w:rsid w:val="00DD27D6"/>
    <w:rsid w:val="00DD2E83"/>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50F12"/>
    <w:rsid w:val="00E5129E"/>
    <w:rsid w:val="00E5160B"/>
    <w:rsid w:val="00E51630"/>
    <w:rsid w:val="00E53E97"/>
    <w:rsid w:val="00E57EE8"/>
    <w:rsid w:val="00E6074A"/>
    <w:rsid w:val="00E621B2"/>
    <w:rsid w:val="00E63CEE"/>
    <w:rsid w:val="00E63E80"/>
    <w:rsid w:val="00E6405B"/>
    <w:rsid w:val="00E65BCC"/>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276"/>
    <w:rsid w:val="00F44513"/>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53D"/>
    <w:rsid w:val="00F72EA1"/>
    <w:rsid w:val="00F751D4"/>
    <w:rsid w:val="00F83DAA"/>
    <w:rsid w:val="00F8565C"/>
    <w:rsid w:val="00F8577B"/>
    <w:rsid w:val="00F85FD5"/>
    <w:rsid w:val="00F86062"/>
    <w:rsid w:val="00F865C8"/>
    <w:rsid w:val="00F868F7"/>
    <w:rsid w:val="00F9176C"/>
    <w:rsid w:val="00F917D6"/>
    <w:rsid w:val="00F91C6F"/>
    <w:rsid w:val="00F91CD3"/>
    <w:rsid w:val="00F92A7A"/>
    <w:rsid w:val="00F930CA"/>
    <w:rsid w:val="00F93464"/>
    <w:rsid w:val="00F95CAC"/>
    <w:rsid w:val="00F97A9F"/>
    <w:rsid w:val="00F97BE2"/>
    <w:rsid w:val="00FA007F"/>
    <w:rsid w:val="00FA323C"/>
    <w:rsid w:val="00FA4EFA"/>
    <w:rsid w:val="00FA5709"/>
    <w:rsid w:val="00FA6608"/>
    <w:rsid w:val="00FA7181"/>
    <w:rsid w:val="00FA730B"/>
    <w:rsid w:val="00FB0DBE"/>
    <w:rsid w:val="00FB1AC4"/>
    <w:rsid w:val="00FB293D"/>
    <w:rsid w:val="00FB3267"/>
    <w:rsid w:val="00FB38AA"/>
    <w:rsid w:val="00FB3AD5"/>
    <w:rsid w:val="00FB4AB8"/>
    <w:rsid w:val="00FB52EB"/>
    <w:rsid w:val="00FB634A"/>
    <w:rsid w:val="00FB7E11"/>
    <w:rsid w:val="00FC1BAA"/>
    <w:rsid w:val="00FC2F94"/>
    <w:rsid w:val="00FC3682"/>
    <w:rsid w:val="00FC37B4"/>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46A7"/>
    <w:rsid w:val="00FE5C2D"/>
    <w:rsid w:val="00FE6C34"/>
    <w:rsid w:val="00FF263D"/>
    <w:rsid w:val="00FF2D1D"/>
    <w:rsid w:val="00FF35FF"/>
    <w:rsid w:val="00FF4033"/>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63709</Words>
  <Characters>350400</Characters>
  <Application>Microsoft Office Word</Application>
  <DocSecurity>0</DocSecurity>
  <Lines>2920</Lines>
  <Paragraphs>826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413283</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dcterms:created xsi:type="dcterms:W3CDTF">2024-11-26T07:48:00Z</dcterms:created>
  <dcterms:modified xsi:type="dcterms:W3CDTF">2024-11-26T07:50:00Z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