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24AE9" w14:textId="77777777" w:rsidR="0006593B" w:rsidRPr="00E81D58" w:rsidRDefault="0006593B" w:rsidP="00EB7E5D">
      <w:pPr>
        <w:pStyle w:val="Geenafstan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44"/>
      </w:tblGrid>
      <w:tr w:rsidR="00272FE8" w:rsidRPr="00AA5A8D" w14:paraId="330D81D7" w14:textId="77777777">
        <w:tc>
          <w:tcPr>
            <w:tcW w:w="1668" w:type="dxa"/>
            <w:shd w:val="clear" w:color="auto" w:fill="auto"/>
          </w:tcPr>
          <w:p w14:paraId="5950EE3F" w14:textId="77777777" w:rsidR="00272FE8" w:rsidRDefault="00272FE8" w:rsidP="00272FE8">
            <w:pPr>
              <w:pStyle w:val="Geenafstand"/>
              <w:rPr>
                <w:b/>
              </w:rPr>
            </w:pPr>
            <w:r>
              <w:rPr>
                <w:b/>
              </w:rPr>
              <w:t>Naam project</w:t>
            </w:r>
          </w:p>
          <w:p w14:paraId="5D119031" w14:textId="1DB1A9BE" w:rsidR="00272FE8" w:rsidRPr="00AA5A8D" w:rsidRDefault="00272FE8" w:rsidP="00272FE8">
            <w:pPr>
              <w:pStyle w:val="Geenafstand"/>
              <w:rPr>
                <w:b/>
              </w:rPr>
            </w:pPr>
            <w:r>
              <w:rPr>
                <w:b/>
              </w:rPr>
              <w:t>regelgeving</w:t>
            </w:r>
          </w:p>
        </w:tc>
        <w:tc>
          <w:tcPr>
            <w:tcW w:w="7544" w:type="dxa"/>
            <w:shd w:val="clear" w:color="auto" w:fill="auto"/>
          </w:tcPr>
          <w:p w14:paraId="6E399B73" w14:textId="1B791DB3" w:rsidR="00272FE8" w:rsidRPr="0006593B" w:rsidRDefault="00272FE8" w:rsidP="00806ADD">
            <w:pPr>
              <w:pStyle w:val="Kop2"/>
              <w:spacing w:before="0" w:line="240" w:lineRule="auto"/>
            </w:pPr>
            <w:r>
              <w:t>ISQM Implementatie</w:t>
            </w:r>
          </w:p>
        </w:tc>
      </w:tr>
      <w:tr w:rsidR="00EB7E5D" w:rsidRPr="00AA5A8D" w14:paraId="16CE3BA9" w14:textId="77777777">
        <w:tc>
          <w:tcPr>
            <w:tcW w:w="1668" w:type="dxa"/>
            <w:shd w:val="clear" w:color="auto" w:fill="auto"/>
          </w:tcPr>
          <w:p w14:paraId="283AE0B6" w14:textId="77777777" w:rsidR="00EB7E5D" w:rsidRPr="0071645D" w:rsidRDefault="00EB7E5D">
            <w:pPr>
              <w:pStyle w:val="Geenafstand"/>
              <w:rPr>
                <w:b/>
              </w:rPr>
            </w:pPr>
            <w:r w:rsidRPr="0071645D">
              <w:rPr>
                <w:b/>
              </w:rPr>
              <w:t>Status</w:t>
            </w:r>
          </w:p>
        </w:tc>
        <w:tc>
          <w:tcPr>
            <w:tcW w:w="7544" w:type="dxa"/>
            <w:shd w:val="clear" w:color="auto" w:fill="auto"/>
          </w:tcPr>
          <w:p w14:paraId="75CB6428" w14:textId="5B4A3948" w:rsidR="00EB7E5D" w:rsidRPr="0006593B" w:rsidRDefault="00AD747F">
            <w:pPr>
              <w:spacing w:after="0" w:line="240" w:lineRule="auto"/>
              <w:rPr>
                <w:b/>
              </w:rPr>
            </w:pPr>
            <w:r>
              <w:rPr>
                <w:b/>
              </w:rPr>
              <w:t>V</w:t>
            </w:r>
            <w:r w:rsidR="00272FE8">
              <w:rPr>
                <w:b/>
              </w:rPr>
              <w:t xml:space="preserve">ersie </w:t>
            </w:r>
            <w:r>
              <w:rPr>
                <w:b/>
              </w:rPr>
              <w:t>1.</w:t>
            </w:r>
            <w:r w:rsidR="007D4B3A">
              <w:rPr>
                <w:b/>
              </w:rPr>
              <w:t>1</w:t>
            </w:r>
          </w:p>
        </w:tc>
      </w:tr>
      <w:tr w:rsidR="00042D33" w:rsidRPr="00AA5A8D" w14:paraId="1D8CD22F" w14:textId="77777777">
        <w:tc>
          <w:tcPr>
            <w:tcW w:w="1668" w:type="dxa"/>
            <w:shd w:val="clear" w:color="auto" w:fill="auto"/>
          </w:tcPr>
          <w:p w14:paraId="339FC472" w14:textId="2A04BAA3" w:rsidR="00042D33" w:rsidRPr="0071645D" w:rsidRDefault="00042D33">
            <w:pPr>
              <w:pStyle w:val="Geenafstand"/>
              <w:rPr>
                <w:b/>
              </w:rPr>
            </w:pPr>
            <w:r>
              <w:rPr>
                <w:b/>
              </w:rPr>
              <w:t>Opsteller(s)</w:t>
            </w:r>
          </w:p>
        </w:tc>
        <w:tc>
          <w:tcPr>
            <w:tcW w:w="7544" w:type="dxa"/>
            <w:shd w:val="clear" w:color="auto" w:fill="auto"/>
          </w:tcPr>
          <w:p w14:paraId="13401C5D" w14:textId="4F33D606" w:rsidR="00042D33" w:rsidRPr="0006593B" w:rsidRDefault="00272FE8">
            <w:pPr>
              <w:spacing w:after="0" w:line="240" w:lineRule="auto"/>
              <w:rPr>
                <w:b/>
              </w:rPr>
            </w:pPr>
            <w:r>
              <w:rPr>
                <w:b/>
              </w:rPr>
              <w:t>Martijn Duffels, Frank van Hoek</w:t>
            </w:r>
          </w:p>
        </w:tc>
      </w:tr>
      <w:tr w:rsidR="00EB7E5D" w:rsidRPr="00AA5A8D" w14:paraId="7041A4B6" w14:textId="77777777">
        <w:tc>
          <w:tcPr>
            <w:tcW w:w="1668" w:type="dxa"/>
            <w:shd w:val="clear" w:color="auto" w:fill="auto"/>
          </w:tcPr>
          <w:p w14:paraId="00D36FE1" w14:textId="77777777" w:rsidR="00EB7E5D" w:rsidRPr="0071645D" w:rsidRDefault="00EB7E5D">
            <w:pPr>
              <w:pStyle w:val="Geenafstand"/>
              <w:rPr>
                <w:b/>
              </w:rPr>
            </w:pPr>
            <w:r w:rsidRPr="0071645D">
              <w:rPr>
                <w:b/>
              </w:rPr>
              <w:t>Datum</w:t>
            </w:r>
          </w:p>
        </w:tc>
        <w:tc>
          <w:tcPr>
            <w:tcW w:w="7544" w:type="dxa"/>
            <w:shd w:val="clear" w:color="auto" w:fill="auto"/>
          </w:tcPr>
          <w:p w14:paraId="4A77C808" w14:textId="49846595" w:rsidR="00EB7E5D" w:rsidRPr="0006593B" w:rsidRDefault="007D4B3A" w:rsidP="000F0838">
            <w:pPr>
              <w:pStyle w:val="Geenafstand"/>
              <w:rPr>
                <w:b/>
              </w:rPr>
            </w:pPr>
            <w:r>
              <w:rPr>
                <w:b/>
              </w:rPr>
              <w:t>28</w:t>
            </w:r>
            <w:r w:rsidR="00272FE8">
              <w:rPr>
                <w:b/>
              </w:rPr>
              <w:t>-0</w:t>
            </w:r>
            <w:r w:rsidR="00C1723B">
              <w:rPr>
                <w:b/>
              </w:rPr>
              <w:t>2</w:t>
            </w:r>
            <w:r w:rsidR="002861EB" w:rsidRPr="0006593B">
              <w:rPr>
                <w:b/>
              </w:rPr>
              <w:t>-</w:t>
            </w:r>
            <w:r w:rsidR="00474C1D" w:rsidRPr="0006593B">
              <w:rPr>
                <w:b/>
              </w:rPr>
              <w:t>202</w:t>
            </w:r>
            <w:r w:rsidR="00F466E3">
              <w:rPr>
                <w:b/>
              </w:rPr>
              <w:t>4</w:t>
            </w:r>
          </w:p>
        </w:tc>
      </w:tr>
    </w:tbl>
    <w:p w14:paraId="2158BC33" w14:textId="77777777" w:rsidR="00EB7E5D" w:rsidRDefault="00EB7E5D" w:rsidP="00EB7E5D">
      <w:pPr>
        <w:pStyle w:val="Geenafstand"/>
        <w:rPr>
          <w:b/>
        </w:rPr>
      </w:pPr>
    </w:p>
    <w:p w14:paraId="6438C186" w14:textId="77777777" w:rsidR="00EB7E5D" w:rsidRPr="0006593B" w:rsidRDefault="00EB7E5D" w:rsidP="00EB7E5D">
      <w:pPr>
        <w:pStyle w:val="Geenafstand"/>
        <w:rPr>
          <w:rStyle w:val="Intensievebenadrukking"/>
          <w:color w:val="4F81BD" w:themeColor="accent1"/>
        </w:rPr>
      </w:pPr>
      <w:r w:rsidRPr="0006593B">
        <w:rPr>
          <w:rStyle w:val="Intensievebenadrukking"/>
          <w:color w:val="4F81BD" w:themeColor="accent1"/>
        </w:rPr>
        <w:t>Project team</w:t>
      </w:r>
    </w:p>
    <w:p w14:paraId="1220E241" w14:textId="77777777" w:rsidR="00EF314F" w:rsidRPr="00672EF3" w:rsidRDefault="00EF314F" w:rsidP="00EF314F">
      <w:pPr>
        <w:tabs>
          <w:tab w:val="left" w:pos="1560"/>
          <w:tab w:val="left" w:pos="1843"/>
        </w:tabs>
        <w:spacing w:after="0" w:line="240" w:lineRule="auto"/>
        <w:rPr>
          <w:rFonts w:cs="Calibri"/>
          <w:bCs/>
          <w:iCs/>
        </w:rPr>
      </w:pPr>
      <w:r w:rsidRPr="00672EF3">
        <w:rPr>
          <w:rFonts w:cs="Calibri"/>
          <w:bCs/>
          <w:iCs/>
        </w:rPr>
        <w:t>Projectsponsor</w:t>
      </w:r>
      <w:r>
        <w:rPr>
          <w:rFonts w:cs="Calibri"/>
          <w:bCs/>
          <w:iCs/>
        </w:rPr>
        <w:tab/>
        <w:t>:</w:t>
      </w:r>
      <w:r w:rsidRPr="00672EF3">
        <w:rPr>
          <w:rFonts w:cs="Calibri"/>
          <w:bCs/>
          <w:iCs/>
        </w:rPr>
        <w:tab/>
      </w:r>
      <w:r>
        <w:rPr>
          <w:rFonts w:cs="Calibri"/>
          <w:bCs/>
          <w:iCs/>
        </w:rPr>
        <w:t>Frank van Hoek</w:t>
      </w:r>
    </w:p>
    <w:p w14:paraId="1294833A" w14:textId="77777777" w:rsidR="00EF314F" w:rsidRPr="00672EF3" w:rsidRDefault="00EF314F" w:rsidP="00EF314F">
      <w:pPr>
        <w:tabs>
          <w:tab w:val="left" w:pos="1560"/>
          <w:tab w:val="left" w:pos="1843"/>
        </w:tabs>
        <w:spacing w:after="0" w:line="240" w:lineRule="auto"/>
        <w:rPr>
          <w:rFonts w:cs="Calibri"/>
          <w:bCs/>
          <w:iCs/>
        </w:rPr>
      </w:pPr>
      <w:r w:rsidRPr="00672EF3">
        <w:rPr>
          <w:rFonts w:cs="Calibri"/>
          <w:bCs/>
          <w:iCs/>
        </w:rPr>
        <w:t>Projectleider</w:t>
      </w:r>
      <w:r>
        <w:rPr>
          <w:rFonts w:cs="Calibri"/>
          <w:bCs/>
          <w:iCs/>
        </w:rPr>
        <w:tab/>
        <w:t>:</w:t>
      </w:r>
      <w:r>
        <w:rPr>
          <w:rFonts w:cs="Calibri"/>
          <w:bCs/>
          <w:iCs/>
        </w:rPr>
        <w:tab/>
        <w:t>Martijn Duffels</w:t>
      </w:r>
    </w:p>
    <w:p w14:paraId="667AF09B" w14:textId="7739EA94" w:rsidR="00EF314F" w:rsidRDefault="00EF314F" w:rsidP="00EF314F">
      <w:pPr>
        <w:tabs>
          <w:tab w:val="left" w:pos="1560"/>
          <w:tab w:val="left" w:pos="1843"/>
        </w:tabs>
        <w:spacing w:after="0" w:line="240" w:lineRule="auto"/>
        <w:rPr>
          <w:rFonts w:cs="Calibri"/>
          <w:bCs/>
          <w:iCs/>
        </w:rPr>
      </w:pPr>
      <w:r w:rsidRPr="00672EF3">
        <w:rPr>
          <w:rFonts w:cs="Calibri"/>
          <w:bCs/>
          <w:iCs/>
        </w:rPr>
        <w:t>Teamleden</w:t>
      </w:r>
      <w:r>
        <w:rPr>
          <w:rFonts w:cs="Calibri"/>
          <w:bCs/>
          <w:iCs/>
        </w:rPr>
        <w:tab/>
        <w:t>:</w:t>
      </w:r>
      <w:r>
        <w:rPr>
          <w:rFonts w:cs="Calibri"/>
          <w:bCs/>
          <w:iCs/>
        </w:rPr>
        <w:tab/>
      </w:r>
      <w:r w:rsidR="007D4B3A">
        <w:rPr>
          <w:rFonts w:cs="Calibri"/>
          <w:bCs/>
          <w:iCs/>
        </w:rPr>
        <w:t>André Broers, Shurmine L</w:t>
      </w:r>
      <w:r w:rsidR="00D31A6A">
        <w:rPr>
          <w:rFonts w:cs="Calibri"/>
          <w:bCs/>
          <w:iCs/>
        </w:rPr>
        <w:t>a</w:t>
      </w:r>
      <w:r w:rsidR="007D4B3A">
        <w:rPr>
          <w:rFonts w:cs="Calibri"/>
          <w:bCs/>
          <w:iCs/>
        </w:rPr>
        <w:t>ndb</w:t>
      </w:r>
      <w:r w:rsidR="00D31A6A">
        <w:rPr>
          <w:rFonts w:cs="Calibri"/>
          <w:bCs/>
          <w:iCs/>
        </w:rPr>
        <w:t>r</w:t>
      </w:r>
      <w:r w:rsidR="007D4B3A">
        <w:rPr>
          <w:rFonts w:cs="Calibri"/>
          <w:bCs/>
          <w:iCs/>
        </w:rPr>
        <w:t>ug</w:t>
      </w:r>
      <w:r w:rsidR="00D31A6A">
        <w:rPr>
          <w:rFonts w:cs="Calibri"/>
          <w:bCs/>
          <w:iCs/>
        </w:rPr>
        <w:t>-Felipa</w:t>
      </w:r>
    </w:p>
    <w:p w14:paraId="156D4E6A" w14:textId="77777777" w:rsidR="00EF314F" w:rsidRPr="00672EF3" w:rsidRDefault="00EF314F" w:rsidP="00EF314F">
      <w:pPr>
        <w:tabs>
          <w:tab w:val="left" w:pos="1560"/>
          <w:tab w:val="left" w:pos="1843"/>
        </w:tabs>
        <w:spacing w:after="0" w:line="240" w:lineRule="auto"/>
        <w:rPr>
          <w:rFonts w:cs="Calibri"/>
          <w:bCs/>
          <w:iCs/>
        </w:rPr>
      </w:pPr>
      <w:r>
        <w:rPr>
          <w:rFonts w:cs="Calibri"/>
          <w:bCs/>
          <w:iCs/>
        </w:rPr>
        <w:t>Afstemmen met</w:t>
      </w:r>
      <w:r>
        <w:rPr>
          <w:rFonts w:cs="Calibri"/>
          <w:bCs/>
          <w:iCs/>
        </w:rPr>
        <w:tab/>
        <w:t>:</w:t>
      </w:r>
      <w:r>
        <w:rPr>
          <w:rFonts w:cs="Calibri"/>
          <w:bCs/>
          <w:iCs/>
        </w:rPr>
        <w:tab/>
      </w:r>
      <w:r w:rsidRPr="00672EF3">
        <w:rPr>
          <w:rFonts w:cs="Calibri"/>
          <w:bCs/>
          <w:iCs/>
        </w:rPr>
        <w:t>AFM</w:t>
      </w:r>
      <w:r>
        <w:rPr>
          <w:rFonts w:cs="Calibri"/>
          <w:bCs/>
          <w:iCs/>
        </w:rPr>
        <w:t>, MinFin</w:t>
      </w:r>
    </w:p>
    <w:p w14:paraId="5E486422" w14:textId="77777777" w:rsidR="002861EB" w:rsidRDefault="002861EB" w:rsidP="00EB7E5D">
      <w:pPr>
        <w:pStyle w:val="Geenafstand"/>
      </w:pPr>
    </w:p>
    <w:p w14:paraId="08BCF1D9" w14:textId="7298757B" w:rsidR="00EB7E5D" w:rsidRPr="00E81D58" w:rsidRDefault="00EB7E5D" w:rsidP="00EB7E5D">
      <w:pPr>
        <w:pStyle w:val="Geenafstand"/>
      </w:pPr>
      <w:r>
        <w:t>Het project zal worden uitgevoerd onder verantwoordelijkheid van de subcommissie Assurance</w:t>
      </w:r>
      <w:r w:rsidR="0092661D">
        <w:t>/</w:t>
      </w:r>
      <w:r w:rsidR="0006593B">
        <w:t xml:space="preserve">het College voor Beroepsreglementering. </w:t>
      </w:r>
    </w:p>
    <w:p w14:paraId="5396C8D4" w14:textId="77777777" w:rsidR="00EB7E5D" w:rsidRDefault="00EB7E5D" w:rsidP="00EB7E5D">
      <w:pPr>
        <w:pStyle w:val="Geenafstand"/>
        <w:rPr>
          <w:rStyle w:val="Intensievebenadrukking"/>
        </w:rPr>
      </w:pPr>
    </w:p>
    <w:p w14:paraId="6CFD5560" w14:textId="77777777" w:rsidR="0006593B" w:rsidRPr="0006593B" w:rsidRDefault="00EB7E5D" w:rsidP="00EB7E5D">
      <w:pPr>
        <w:pStyle w:val="Geenafstand"/>
        <w:rPr>
          <w:rStyle w:val="Intensievebenadrukking"/>
          <w:color w:val="4F81BD" w:themeColor="accent1"/>
        </w:rPr>
      </w:pPr>
      <w:r w:rsidRPr="0006593B">
        <w:rPr>
          <w:rStyle w:val="Intensievebenadrukking"/>
          <w:color w:val="4F81BD" w:themeColor="accent1"/>
        </w:rPr>
        <w:t>Aanleiding</w:t>
      </w:r>
      <w:r w:rsidR="00042D33" w:rsidRPr="0006593B">
        <w:rPr>
          <w:rStyle w:val="Intensievebenadrukking"/>
          <w:color w:val="4F81BD" w:themeColor="accent1"/>
        </w:rPr>
        <w:t>/Achtergrond project</w:t>
      </w:r>
    </w:p>
    <w:p w14:paraId="2B9B33A7" w14:textId="77777777" w:rsidR="00B034BC" w:rsidRPr="00F94A60" w:rsidRDefault="00B034BC" w:rsidP="00B034BC">
      <w:pPr>
        <w:pStyle w:val="Geenafstand"/>
      </w:pPr>
      <w:bookmarkStart w:id="0" w:name="_Hlk147843208"/>
      <w:r>
        <w:t>Met de ISQM-standaarden</w:t>
      </w:r>
      <w:r w:rsidRPr="37A68E2E">
        <w:rPr>
          <w:rStyle w:val="Voetnootmarkering"/>
        </w:rPr>
        <w:footnoteReference w:id="2"/>
      </w:r>
      <w:r>
        <w:t xml:space="preserve"> heeft IFAC nieuwe regels gesteld over kwaliteitsmanagement van accountantskantoren. Het ministerie van Financiën heeft aangegeven niet zelf over te willen gaan tot het implementeren van ISQM in Nederland, maar graag te zien dat de NBA ISQM binnen het bestaande kader (Wta/Bta) implementeert. De NBA vindt de introductie van ISQM in Nederland bijdragen aan betere beroepsuitoefening, met name omdat ISQM meer dan ISQC de kantoren vraagt om verantwoordelijkheid te nemen voor hun kwaliteit. Alle andere IFAC-standaarden gaan er bovendien van uit dat ISQM-standaarden worden toegepast en verwijzen daar ook naar. Daarnaast vult NBA met het implementeren van ISQM haar verplichting in om IFAC-regelgeving zo goed mogelijk te implementeren, en komt de NBA hiermee op een vergelijkbaar niveau als andere landen in de EU.</w:t>
      </w:r>
    </w:p>
    <w:p w14:paraId="12091743" w14:textId="77777777" w:rsidR="00B65B4F" w:rsidRDefault="00B65B4F" w:rsidP="00EB7E5D">
      <w:pPr>
        <w:pStyle w:val="Geenafstand"/>
        <w:rPr>
          <w:rStyle w:val="Intensievebenadrukking"/>
        </w:rPr>
      </w:pPr>
    </w:p>
    <w:p w14:paraId="64B6C44B" w14:textId="00427EDA" w:rsidR="00EB7E5D" w:rsidRPr="001305E3" w:rsidRDefault="00EB7E5D" w:rsidP="00EB7E5D">
      <w:pPr>
        <w:pStyle w:val="Geenafstand"/>
        <w:rPr>
          <w:rStyle w:val="Intensievebenadrukking"/>
        </w:rPr>
      </w:pPr>
      <w:r w:rsidRPr="001305E3">
        <w:rPr>
          <w:rStyle w:val="Intensievebenadrukking"/>
        </w:rPr>
        <w:t>Doelstelling</w:t>
      </w:r>
    </w:p>
    <w:bookmarkEnd w:id="0"/>
    <w:p w14:paraId="074425F9" w14:textId="1113E5E4" w:rsidR="00CF25F1" w:rsidRDefault="00CF25F1" w:rsidP="00CF25F1">
      <w:pPr>
        <w:pStyle w:val="Geenafstand"/>
      </w:pPr>
      <w:r>
        <w:t>Implementeren van de vertaalde ISQM-standaarden, met bijbehorende conforming and consequential amendments, en bijbehorende herziening van VAO en NVKS.</w:t>
      </w:r>
      <w:r w:rsidR="000B61C4">
        <w:t xml:space="preserve"> Een nevendoelstelling is om periodiek de praktijk te informeren over </w:t>
      </w:r>
      <w:r w:rsidR="00951AF4">
        <w:t>ISQM en de impact op accountants</w:t>
      </w:r>
      <w:r w:rsidR="736C3951">
        <w:t>kantoren</w:t>
      </w:r>
      <w:r w:rsidR="00951AF4">
        <w:t>, en om draagvlak te creëren voor ISQM.</w:t>
      </w:r>
    </w:p>
    <w:p w14:paraId="4D0CAFF2" w14:textId="77777777" w:rsidR="00B65B4F" w:rsidRDefault="00B65B4F" w:rsidP="00EB7E5D">
      <w:pPr>
        <w:pStyle w:val="Geenafstand"/>
        <w:rPr>
          <w:rStyle w:val="Intensievebenadrukking"/>
        </w:rPr>
      </w:pPr>
    </w:p>
    <w:p w14:paraId="37239C72" w14:textId="010F8FCF" w:rsidR="00042D33" w:rsidRPr="0006593B" w:rsidRDefault="00042D33" w:rsidP="00EB7E5D">
      <w:pPr>
        <w:pStyle w:val="Geenafstand"/>
        <w:rPr>
          <w:rStyle w:val="Intensievebenadrukking"/>
          <w:color w:val="4F81BD" w:themeColor="accent1"/>
        </w:rPr>
      </w:pPr>
      <w:r w:rsidRPr="0006593B">
        <w:rPr>
          <w:rStyle w:val="Intensievebenadrukking"/>
          <w:color w:val="4F81BD" w:themeColor="accent1"/>
        </w:rPr>
        <w:t>Scope</w:t>
      </w:r>
    </w:p>
    <w:p w14:paraId="30705C1E" w14:textId="714420DF" w:rsidR="00042D33" w:rsidRPr="009D0425" w:rsidRDefault="00CF25F1" w:rsidP="00EB7E5D">
      <w:pPr>
        <w:pStyle w:val="Geenafstand"/>
        <w:rPr>
          <w:rStyle w:val="Intensievebenadrukking"/>
          <w:b w:val="0"/>
          <w:bCs w:val="0"/>
          <w:i w:val="0"/>
          <w:iCs w:val="0"/>
          <w:color w:val="auto"/>
        </w:rPr>
      </w:pPr>
      <w:r w:rsidRPr="009D0425">
        <w:rPr>
          <w:rStyle w:val="Intensievebenadrukking"/>
          <w:b w:val="0"/>
          <w:bCs w:val="0"/>
          <w:i w:val="0"/>
          <w:iCs w:val="0"/>
          <w:color w:val="auto"/>
        </w:rPr>
        <w:t xml:space="preserve">Het gaat om ISQM 1 en 2, ISA 220, de Conforming Amendments to the ISAs, de Conforming and Consequential Amendments to the other standards, </w:t>
      </w:r>
      <w:r w:rsidR="009D0425" w:rsidRPr="009D0425">
        <w:rPr>
          <w:rStyle w:val="Intensievebenadrukking"/>
          <w:b w:val="0"/>
          <w:bCs w:val="0"/>
          <w:i w:val="0"/>
          <w:iCs w:val="0"/>
          <w:color w:val="auto"/>
        </w:rPr>
        <w:t>en aan</w:t>
      </w:r>
      <w:r w:rsidR="009D0425">
        <w:rPr>
          <w:rStyle w:val="Intensievebenadrukking"/>
          <w:b w:val="0"/>
          <w:bCs w:val="0"/>
          <w:i w:val="0"/>
          <w:iCs w:val="0"/>
          <w:color w:val="auto"/>
        </w:rPr>
        <w:t>passingen aan alle nationale Standaarden. Daarbij komen aanpassingen aan de NVKS en de VAO</w:t>
      </w:r>
      <w:r w:rsidR="00D222A1">
        <w:rPr>
          <w:rStyle w:val="Intensievebenadrukking"/>
          <w:b w:val="0"/>
          <w:bCs w:val="0"/>
          <w:i w:val="0"/>
          <w:iCs w:val="0"/>
          <w:color w:val="auto"/>
        </w:rPr>
        <w:t>, en waar noodzakelijk andere beroepsreglementering die verwijst naar VAO of NVKS</w:t>
      </w:r>
      <w:r w:rsidR="009D0425">
        <w:rPr>
          <w:rStyle w:val="Intensievebenadrukking"/>
          <w:b w:val="0"/>
          <w:bCs w:val="0"/>
          <w:i w:val="0"/>
          <w:iCs w:val="0"/>
          <w:color w:val="auto"/>
        </w:rPr>
        <w:t>.</w:t>
      </w:r>
    </w:p>
    <w:p w14:paraId="727C49B7" w14:textId="77777777" w:rsidR="00CF25F1" w:rsidRPr="009D0425" w:rsidRDefault="00CF25F1" w:rsidP="00EB7E5D">
      <w:pPr>
        <w:pStyle w:val="Geenafstand"/>
        <w:rPr>
          <w:rStyle w:val="Intensievebenadrukking"/>
        </w:rPr>
      </w:pPr>
    </w:p>
    <w:p w14:paraId="3C09A5FD" w14:textId="78E7BC28" w:rsidR="0035103A" w:rsidRDefault="00EB7E5D" w:rsidP="0006593B">
      <w:pPr>
        <w:pStyle w:val="Geenafstand"/>
      </w:pPr>
      <w:r w:rsidRPr="001305E3">
        <w:rPr>
          <w:rStyle w:val="Intensievebenadrukking"/>
        </w:rPr>
        <w:t>Impactanalyse</w:t>
      </w:r>
      <w:r w:rsidR="00042D33">
        <w:rPr>
          <w:rStyle w:val="Intensievebenadrukking"/>
        </w:rPr>
        <w:t>/resultaat</w:t>
      </w:r>
      <w:r w:rsidR="0035103A">
        <w:t xml:space="preserve"> </w:t>
      </w:r>
    </w:p>
    <w:p w14:paraId="0F502667" w14:textId="250A5AC4" w:rsidR="00622E3C" w:rsidRDefault="00622E3C" w:rsidP="00622E3C">
      <w:pPr>
        <w:pStyle w:val="Geenafstand"/>
      </w:pPr>
      <w:r>
        <w:t xml:space="preserve">De impact op de praktijk is wisselend. Voor de grootste kantoren geldt dat de implementatie van ISQM vanuit hun netwerken al is afgerond, en is de impact dus beperkt. Voor middelgrote en kleinere kantoren geldt dit niet, deze netwerken en kantoren hebben minder tot geen ondersteuning van hun netwerkorganisaties op dit punt. ISQM is ontwikkeld voor alle accountantspraktijken, en expliciet ook voor kleine accountantspraktijken. Hierin is voorzien met scalability paragrafen en toelichtingen in </w:t>
      </w:r>
      <w:r>
        <w:lastRenderedPageBreak/>
        <w:t>ISQM; daarnaast heeft IFAC allerlei guidance en informatief materiaal ontwikkeld voor kleine organisaties om te helpen invulling te geven aan scalability binnen een kleine praktijk. Wij denken dat deze materialen afdoende moeten zijn voor kleine accountantseenheden in Nederland om ISQM in te voeren.</w:t>
      </w:r>
    </w:p>
    <w:p w14:paraId="10DE0701" w14:textId="738BAAB8" w:rsidR="00622E3C" w:rsidRDefault="00622E3C" w:rsidP="00622E3C">
      <w:pPr>
        <w:pStyle w:val="Geenafstand"/>
      </w:pPr>
      <w:r>
        <w:t xml:space="preserve">De impact op regelgeving is groot. De basis voor kwaliteitsregelgeving voor </w:t>
      </w:r>
      <w:r w:rsidR="002A6018">
        <w:t xml:space="preserve">de wettelijke controle </w:t>
      </w:r>
      <w:r>
        <w:t xml:space="preserve">wordt thans gevormd door Wta/Bta, met een beperkte rol voor VAO en geen Nadere Voorschriften. Te voorzien valt dat er na afronding van dit project ook Nadere Voorschriften </w:t>
      </w:r>
      <w:r w:rsidR="0058526D">
        <w:t xml:space="preserve">nodig </w:t>
      </w:r>
      <w:r>
        <w:t xml:space="preserve">zullen zijn in aanvulling op de (sterk vereenvoudigde) VAO </w:t>
      </w:r>
      <w:r w:rsidR="3F569E3C">
        <w:t xml:space="preserve">naast </w:t>
      </w:r>
      <w:r>
        <w:t xml:space="preserve">Wta/Bta. Voor </w:t>
      </w:r>
      <w:r w:rsidR="00F06614">
        <w:t xml:space="preserve">de kwaliteitsregelgeving ten aanzien van </w:t>
      </w:r>
      <w:r>
        <w:t>alle niet-wettelijke</w:t>
      </w:r>
      <w:r w:rsidR="002A6018">
        <w:t>-controles, voor</w:t>
      </w:r>
      <w:r w:rsidR="00693827">
        <w:t xml:space="preserve"> assuranceopdrachten en aan assurance verwante opdrachte </w:t>
      </w:r>
      <w:r>
        <w:t>s er nu de NVKS, waarvan wordt voorzien dat die (grotendeels) kan worden ingetrokken, en dat de Nadere Voorschriften straks ook voor die kantoren/praktijken gaan gelden. Dit vergt veel analyse om het goed in te regelen, en ook veel afstemming om partijen hierin mee te krijgen.</w:t>
      </w:r>
    </w:p>
    <w:p w14:paraId="30BF63B7" w14:textId="77777777" w:rsidR="00622E3C" w:rsidRDefault="00622E3C" w:rsidP="00622E3C">
      <w:pPr>
        <w:pStyle w:val="Geenafstand"/>
      </w:pPr>
      <w:r>
        <w:t>De betrokken Standaarden (ISQM 1/2 en de al eerder vertaalde en ingevoerde ISA220 en de conforming and consequential amendments) zijn al eerder door het IBR vertaald, waardoor al een basis bestaat voor de vertaling, en met name de consistentie van begrippen en terminologie moet worden bewaakt bij het afronden van de Standaarden.</w:t>
      </w:r>
    </w:p>
    <w:p w14:paraId="06747F79" w14:textId="3B09923C" w:rsidR="00581C66" w:rsidRDefault="00581C66" w:rsidP="00622E3C">
      <w:pPr>
        <w:pStyle w:val="Geenafstand"/>
      </w:pPr>
      <w:r>
        <w:t>De intentie bestaat om uiterlijk vanaf 1-1-2027 de nieuwe regelgeving voor alle accountants</w:t>
      </w:r>
      <w:r w:rsidR="003261A8">
        <w:t xml:space="preserve">eenheden voor te schrijven. OOB-accountantsorganisaties zullen vanaf 1-1-2025 aan de nieuwe regels moeten voldoen. In de consultatie zullen we </w:t>
      </w:r>
      <w:r w:rsidR="00F94620">
        <w:t xml:space="preserve">aan partijen vragen of zij vinden dat een invoeringsdatum van 1-1-2026 wenselijk en haalbaar is voor reguliere vergunninghouders, of dat deze datum </w:t>
      </w:r>
      <w:r w:rsidR="00AD2276">
        <w:t>(voor bepaalde groepen van reguliere vergunninghouders) eerder of later moet worden gesteld.</w:t>
      </w:r>
      <w:r w:rsidR="00F06614">
        <w:t xml:space="preserve"> Op basis hiervan zal het CB haar standpunt bepalen, </w:t>
      </w:r>
      <w:r w:rsidR="00FA14AF">
        <w:t>waarna het bestuur een besluit zal nemen (met inachtneming van het advies van het BOB).</w:t>
      </w:r>
    </w:p>
    <w:p w14:paraId="61C3F8D8" w14:textId="77777777" w:rsidR="00F15ACB" w:rsidRDefault="00F15ACB" w:rsidP="00EB7E5D">
      <w:pPr>
        <w:pStyle w:val="Geenafstand"/>
      </w:pPr>
    </w:p>
    <w:p w14:paraId="202343C0" w14:textId="77777777" w:rsidR="00707636" w:rsidRPr="005710ED" w:rsidRDefault="00F15ACB" w:rsidP="00F15ACB">
      <w:pPr>
        <w:pStyle w:val="Geenafstand"/>
        <w:rPr>
          <w:rStyle w:val="Intensievebenadrukking"/>
        </w:rPr>
      </w:pPr>
      <w:r w:rsidRPr="005710ED">
        <w:rPr>
          <w:rStyle w:val="Intensievebenadrukking"/>
        </w:rPr>
        <w:t>MKB-toets</w:t>
      </w:r>
    </w:p>
    <w:p w14:paraId="0EC5D06D" w14:textId="16053AAC" w:rsidR="00707636" w:rsidRPr="005710ED" w:rsidRDefault="00D6675A">
      <w:pPr>
        <w:pStyle w:val="Geenafstand"/>
        <w:rPr>
          <w:rStyle w:val="Intensievebenadrukking"/>
          <w:i w:val="0"/>
          <w:iCs w:val="0"/>
        </w:rPr>
      </w:pPr>
      <w:r w:rsidRPr="6185AFEA">
        <w:rPr>
          <w:i/>
          <w:iCs/>
        </w:rPr>
        <w:t>De MKB-toets is gericht op</w:t>
      </w:r>
      <w:r w:rsidR="1D2859A0" w:rsidRPr="6185AFEA">
        <w:rPr>
          <w:rFonts w:cs="Calibri"/>
          <w:i/>
          <w:iCs/>
        </w:rPr>
        <w:t xml:space="preserve"> kleinere accountantseenheden</w:t>
      </w:r>
      <w:r w:rsidRPr="6185AFEA">
        <w:rPr>
          <w:i/>
          <w:iCs/>
        </w:rPr>
        <w:t xml:space="preserve"> en betreft de volgende vragen: </w:t>
      </w:r>
    </w:p>
    <w:p w14:paraId="238CBF78" w14:textId="61A893C0" w:rsidR="00F15ACB" w:rsidRDefault="00F15ACB" w:rsidP="007B28E0">
      <w:pPr>
        <w:pStyle w:val="Lijstalinea"/>
        <w:numPr>
          <w:ilvl w:val="0"/>
          <w:numId w:val="7"/>
        </w:numPr>
        <w:rPr>
          <w:rFonts w:eastAsia="Times New Roman"/>
        </w:rPr>
      </w:pPr>
      <w:r>
        <w:rPr>
          <w:rFonts w:eastAsia="Times New Roman"/>
        </w:rPr>
        <w:t>Is de regelgeving van toepassing op mkb-accountants</w:t>
      </w:r>
      <w:r w:rsidR="002120AA">
        <w:rPr>
          <w:rFonts w:eastAsia="Times New Roman"/>
        </w:rPr>
        <w:t>?</w:t>
      </w:r>
      <w:r w:rsidR="00F7668E">
        <w:rPr>
          <w:rFonts w:eastAsia="Times New Roman"/>
        </w:rPr>
        <w:t xml:space="preserve"> Zo ja,</w:t>
      </w:r>
      <w:r>
        <w:rPr>
          <w:rFonts w:eastAsia="Times New Roman"/>
        </w:rPr>
        <w:t xml:space="preserve">  in welke situaties</w:t>
      </w:r>
      <w:r w:rsidR="000E7E6C">
        <w:rPr>
          <w:rFonts w:eastAsia="Times New Roman"/>
        </w:rPr>
        <w:t xml:space="preserve"> en waarom</w:t>
      </w:r>
      <w:r>
        <w:rPr>
          <w:rFonts w:eastAsia="Times New Roman"/>
        </w:rPr>
        <w:t>?</w:t>
      </w:r>
      <w:r w:rsidR="0056099B">
        <w:rPr>
          <w:rFonts w:eastAsia="Times New Roman"/>
        </w:rPr>
        <w:t xml:space="preserve"> </w:t>
      </w:r>
    </w:p>
    <w:p w14:paraId="0FD193B4" w14:textId="50215100" w:rsidR="00CF0042" w:rsidRPr="007540E2" w:rsidRDefault="00CF0042" w:rsidP="004C429E">
      <w:pPr>
        <w:ind w:left="1134"/>
        <w:rPr>
          <w:rFonts w:eastAsia="Times New Roman"/>
        </w:rPr>
      </w:pPr>
      <w:r w:rsidRPr="6185AFEA">
        <w:rPr>
          <w:rFonts w:eastAsia="Times New Roman"/>
        </w:rPr>
        <w:t>De vervanging van NVKS/</w:t>
      </w:r>
      <w:r w:rsidR="5C12B691" w:rsidRPr="6185AFEA">
        <w:rPr>
          <w:rFonts w:eastAsia="Times New Roman"/>
        </w:rPr>
        <w:t>V</w:t>
      </w:r>
      <w:r w:rsidRPr="6185AFEA">
        <w:rPr>
          <w:rFonts w:eastAsia="Times New Roman"/>
        </w:rPr>
        <w:t>A</w:t>
      </w:r>
      <w:r w:rsidR="00FF4AFF" w:rsidRPr="6185AFEA">
        <w:rPr>
          <w:rFonts w:eastAsia="Times New Roman"/>
        </w:rPr>
        <w:t xml:space="preserve">O </w:t>
      </w:r>
      <w:r w:rsidR="3A6AC27A" w:rsidRPr="6185AFEA">
        <w:rPr>
          <w:rFonts w:cs="Calibri"/>
        </w:rPr>
        <w:t xml:space="preserve">en implementatie van ISQM </w:t>
      </w:r>
      <w:r w:rsidR="00FF4AFF" w:rsidRPr="6185AFEA">
        <w:rPr>
          <w:rFonts w:eastAsia="Times New Roman"/>
        </w:rPr>
        <w:t>raakt alle accountants die assurance (verwante) opdrachten uitvoeren</w:t>
      </w:r>
      <w:r w:rsidR="3C20E550" w:rsidRPr="6185AFEA">
        <w:rPr>
          <w:rFonts w:cs="Calibri"/>
        </w:rPr>
        <w:t>, waaronder samenstellingsopdrachten</w:t>
      </w:r>
      <w:r w:rsidR="00FF4AFF" w:rsidRPr="6185AFEA">
        <w:rPr>
          <w:rFonts w:eastAsia="Times New Roman"/>
        </w:rPr>
        <w:t xml:space="preserve">. Het heeft dus ook impact op </w:t>
      </w:r>
      <w:r w:rsidR="00E819A7">
        <w:rPr>
          <w:rFonts w:eastAsia="Times New Roman"/>
        </w:rPr>
        <w:t xml:space="preserve">de </w:t>
      </w:r>
      <w:r w:rsidR="3239C301" w:rsidRPr="6185AFEA">
        <w:rPr>
          <w:rFonts w:cs="Calibri"/>
        </w:rPr>
        <w:t xml:space="preserve">kleinere </w:t>
      </w:r>
      <w:r w:rsidR="00FF4AFF" w:rsidRPr="6185AFEA">
        <w:rPr>
          <w:rFonts w:eastAsia="Times New Roman"/>
        </w:rPr>
        <w:t>accountants</w:t>
      </w:r>
      <w:r w:rsidR="009D7C0F">
        <w:rPr>
          <w:rFonts w:eastAsia="Times New Roman"/>
        </w:rPr>
        <w:t>organisaties</w:t>
      </w:r>
      <w:r w:rsidR="00FF4AFF" w:rsidRPr="6185AFEA">
        <w:rPr>
          <w:rFonts w:eastAsia="Times New Roman"/>
        </w:rPr>
        <w:t>.</w:t>
      </w:r>
    </w:p>
    <w:p w14:paraId="58FE73D4" w14:textId="143458E7" w:rsidR="00F15ACB" w:rsidRPr="001D5E7F" w:rsidRDefault="00F15ACB">
      <w:pPr>
        <w:pStyle w:val="Lijstalinea"/>
        <w:numPr>
          <w:ilvl w:val="0"/>
          <w:numId w:val="7"/>
        </w:numPr>
        <w:rPr>
          <w:rFonts w:eastAsia="Times New Roman"/>
        </w:rPr>
      </w:pPr>
      <w:r w:rsidRPr="001D5E7F">
        <w:rPr>
          <w:rFonts w:eastAsia="Times New Roman"/>
        </w:rPr>
        <w:t>Wat is de impact van de regelgeving voor de MKB-accountant m.b.t</w:t>
      </w:r>
      <w:r w:rsidR="00C04B79" w:rsidRPr="001D5E7F">
        <w:rPr>
          <w:rFonts w:eastAsia="Times New Roman"/>
        </w:rPr>
        <w:t>:</w:t>
      </w:r>
    </w:p>
    <w:p w14:paraId="34AE68B4" w14:textId="03CD9833" w:rsidR="00F15ACB" w:rsidRDefault="00707636" w:rsidP="007B28E0">
      <w:pPr>
        <w:pStyle w:val="Lijstalinea"/>
        <w:numPr>
          <w:ilvl w:val="1"/>
          <w:numId w:val="7"/>
        </w:numPr>
        <w:rPr>
          <w:rFonts w:eastAsia="Times New Roman"/>
        </w:rPr>
      </w:pPr>
      <w:r>
        <w:rPr>
          <w:rFonts w:eastAsia="Times New Roman"/>
        </w:rPr>
        <w:t>Werkbaarheid en u</w:t>
      </w:r>
      <w:r w:rsidR="00F15ACB">
        <w:rPr>
          <w:rFonts w:eastAsia="Times New Roman"/>
        </w:rPr>
        <w:t>itvoerbaarheid</w:t>
      </w:r>
      <w:r w:rsidR="00EB561B">
        <w:rPr>
          <w:rFonts w:eastAsia="Times New Roman"/>
        </w:rPr>
        <w:t xml:space="preserve"> </w:t>
      </w:r>
      <w:r w:rsidR="00EB561B" w:rsidRPr="00EB561B">
        <w:rPr>
          <w:rFonts w:eastAsia="Times New Roman"/>
        </w:rPr>
        <w:t>voor organisaties van een kleinere schaal</w:t>
      </w:r>
      <w:r w:rsidR="003E318C">
        <w:rPr>
          <w:rFonts w:eastAsia="Times New Roman"/>
        </w:rPr>
        <w:t xml:space="preserve"> </w:t>
      </w:r>
    </w:p>
    <w:p w14:paraId="7A32275B" w14:textId="4BD0FAB6" w:rsidR="00FF4AFF" w:rsidRPr="007540E2" w:rsidRDefault="00FF4AFF" w:rsidP="00A75130">
      <w:pPr>
        <w:ind w:left="1843"/>
        <w:rPr>
          <w:rFonts w:eastAsia="Times New Roman"/>
        </w:rPr>
      </w:pPr>
      <w:r>
        <w:rPr>
          <w:rFonts w:eastAsia="Times New Roman"/>
        </w:rPr>
        <w:t>ISQM is internationaal ontwikkeld om schaalbaar te zijn</w:t>
      </w:r>
      <w:r w:rsidR="00042875">
        <w:rPr>
          <w:rFonts w:eastAsia="Times New Roman"/>
        </w:rPr>
        <w:t>,</w:t>
      </w:r>
      <w:r w:rsidR="00A94CB4">
        <w:rPr>
          <w:rFonts w:eastAsia="Times New Roman"/>
        </w:rPr>
        <w:t xml:space="preserve"> ook voor kleine organisaties. Daartoe zijn verschillende hulpmiddelen ontwikkeld om een goede invulling aan de schaalbaarheid te geven. We zullen die tools verzamelen en boordelen en waar</w:t>
      </w:r>
      <w:r w:rsidR="00AD747F">
        <w:rPr>
          <w:rFonts w:eastAsia="Times New Roman"/>
        </w:rPr>
        <w:t xml:space="preserve"> </w:t>
      </w:r>
      <w:r w:rsidR="00A94CB4">
        <w:rPr>
          <w:rFonts w:eastAsia="Times New Roman"/>
        </w:rPr>
        <w:t>nodig in Nederland uitrollen.</w:t>
      </w:r>
    </w:p>
    <w:p w14:paraId="21F38F51" w14:textId="376A149E" w:rsidR="00F15ACB" w:rsidRDefault="00F15ACB" w:rsidP="00F15ACB">
      <w:pPr>
        <w:pStyle w:val="Lijstalinea"/>
        <w:numPr>
          <w:ilvl w:val="1"/>
          <w:numId w:val="7"/>
        </w:numPr>
        <w:rPr>
          <w:rFonts w:eastAsia="Times New Roman"/>
        </w:rPr>
      </w:pPr>
      <w:r>
        <w:rPr>
          <w:rFonts w:eastAsia="Times New Roman"/>
        </w:rPr>
        <w:t>Benodigde inspanning bij implementatie (denk aan tijd en geld)</w:t>
      </w:r>
      <w:r w:rsidR="003E318C">
        <w:rPr>
          <w:rFonts w:eastAsia="Times New Roman"/>
        </w:rPr>
        <w:t xml:space="preserve"> </w:t>
      </w:r>
    </w:p>
    <w:p w14:paraId="49E2751B" w14:textId="6D9431D0" w:rsidR="00A94CB4" w:rsidRPr="007540E2" w:rsidRDefault="00A75130" w:rsidP="00A75130">
      <w:pPr>
        <w:ind w:left="1985"/>
        <w:rPr>
          <w:rFonts w:eastAsia="Times New Roman"/>
        </w:rPr>
      </w:pPr>
      <w:r>
        <w:rPr>
          <w:rFonts w:eastAsia="Times New Roman"/>
        </w:rPr>
        <w:t>A</w:t>
      </w:r>
      <w:r w:rsidR="001B132B" w:rsidRPr="6185AFEA">
        <w:rPr>
          <w:rFonts w:eastAsia="Times New Roman"/>
        </w:rPr>
        <w:t xml:space="preserve">ccountants zullen hun stelsel van kwaliteitsbeheersing moeten omvormen naar kwaliteitsmanagement. Dit zal een investering vragen, met name op het </w:t>
      </w:r>
      <w:r w:rsidR="389497CE" w:rsidRPr="6185AFEA">
        <w:rPr>
          <w:rFonts w:cs="Calibri"/>
        </w:rPr>
        <w:t xml:space="preserve">herijken </w:t>
      </w:r>
      <w:r w:rsidR="001B132B" w:rsidRPr="6185AFEA">
        <w:rPr>
          <w:rFonts w:eastAsia="Times New Roman"/>
        </w:rPr>
        <w:t>van kwaliteitsdoelstellingen en risico’s</w:t>
      </w:r>
      <w:r w:rsidR="00D61BF6" w:rsidRPr="6185AFEA">
        <w:rPr>
          <w:rFonts w:eastAsia="Times New Roman"/>
        </w:rPr>
        <w:t>, en het defini</w:t>
      </w:r>
      <w:r w:rsidR="5BCD3ED1" w:rsidRPr="6185AFEA">
        <w:rPr>
          <w:rFonts w:eastAsia="Times New Roman"/>
        </w:rPr>
        <w:t>ë</w:t>
      </w:r>
      <w:r w:rsidR="00D61BF6" w:rsidRPr="6185AFEA">
        <w:rPr>
          <w:rFonts w:eastAsia="Times New Roman"/>
        </w:rPr>
        <w:t>ren van beheersmaatregelen. Verwacht wordt dat genoemde hulpmiddelen accountants goed in staat stellen dit te doen.</w:t>
      </w:r>
    </w:p>
    <w:p w14:paraId="2D155E4F" w14:textId="164BEC85" w:rsidR="003E318C" w:rsidRDefault="009338D1">
      <w:pPr>
        <w:pStyle w:val="Lijstalinea"/>
        <w:numPr>
          <w:ilvl w:val="1"/>
          <w:numId w:val="7"/>
        </w:numPr>
        <w:rPr>
          <w:rFonts w:eastAsia="Times New Roman"/>
        </w:rPr>
      </w:pPr>
      <w:r>
        <w:rPr>
          <w:rFonts w:eastAsia="Times New Roman"/>
        </w:rPr>
        <w:t>Is</w:t>
      </w:r>
      <w:r w:rsidR="003E318C" w:rsidRPr="00351BF0">
        <w:rPr>
          <w:rFonts w:eastAsia="Times New Roman"/>
        </w:rPr>
        <w:t xml:space="preserve"> deze </w:t>
      </w:r>
      <w:r w:rsidR="00170E12">
        <w:rPr>
          <w:rFonts w:eastAsia="Times New Roman"/>
        </w:rPr>
        <w:t>r</w:t>
      </w:r>
      <w:r w:rsidR="00170E12" w:rsidRPr="00351BF0">
        <w:rPr>
          <w:rFonts w:eastAsia="Times New Roman"/>
        </w:rPr>
        <w:t>egeldruk</w:t>
      </w:r>
      <w:r w:rsidR="00170E12">
        <w:rPr>
          <w:rFonts w:eastAsia="Times New Roman"/>
        </w:rPr>
        <w:t xml:space="preserve"> </w:t>
      </w:r>
      <w:r w:rsidR="003E318C" w:rsidRPr="00351BF0">
        <w:rPr>
          <w:rFonts w:eastAsia="Times New Roman"/>
        </w:rPr>
        <w:t>verhogend, neutraal of regeldruk verminderend?</w:t>
      </w:r>
      <w:r w:rsidR="00351BF0" w:rsidRPr="00351BF0">
        <w:rPr>
          <w:rFonts w:eastAsia="Times New Roman"/>
        </w:rPr>
        <w:t xml:space="preserve"> Zijn er bepaalde </w:t>
      </w:r>
      <w:r w:rsidR="003E318C" w:rsidRPr="00351BF0">
        <w:rPr>
          <w:rFonts w:eastAsia="Times New Roman"/>
        </w:rPr>
        <w:t xml:space="preserve">regels </w:t>
      </w:r>
      <w:r w:rsidR="00351BF0" w:rsidRPr="00351BF0">
        <w:rPr>
          <w:rFonts w:eastAsia="Times New Roman"/>
        </w:rPr>
        <w:t xml:space="preserve">die </w:t>
      </w:r>
      <w:r w:rsidR="003E318C" w:rsidRPr="00351BF0">
        <w:rPr>
          <w:rFonts w:eastAsia="Times New Roman"/>
        </w:rPr>
        <w:t>vervallen?</w:t>
      </w:r>
    </w:p>
    <w:p w14:paraId="27771413" w14:textId="48E6B912" w:rsidR="00D61BF6" w:rsidRPr="00AD747F" w:rsidRDefault="00D61BF6" w:rsidP="004C429E">
      <w:pPr>
        <w:ind w:left="1985"/>
      </w:pPr>
      <w:r w:rsidRPr="6185AFEA">
        <w:rPr>
          <w:rFonts w:eastAsia="Times New Roman"/>
        </w:rPr>
        <w:t xml:space="preserve">Omdat de NVKS ook al </w:t>
      </w:r>
      <w:r w:rsidR="00311605" w:rsidRPr="6185AFEA">
        <w:rPr>
          <w:rFonts w:eastAsia="Times New Roman"/>
        </w:rPr>
        <w:t>ISQM principes volgde, is de overall inschatting van de regeldruk dat er geen wezenlijke verandering z</w:t>
      </w:r>
      <w:r w:rsidR="00F074FB">
        <w:rPr>
          <w:rFonts w:eastAsia="Times New Roman"/>
        </w:rPr>
        <w:t>ullen</w:t>
      </w:r>
      <w:r w:rsidR="00311605" w:rsidRPr="6185AFEA">
        <w:rPr>
          <w:rFonts w:eastAsia="Times New Roman"/>
        </w:rPr>
        <w:t xml:space="preserve"> plaatsvinden.</w:t>
      </w:r>
      <w:r w:rsidR="61187880" w:rsidRPr="6185AFEA">
        <w:rPr>
          <w:rFonts w:cs="Calibri"/>
        </w:rPr>
        <w:t xml:space="preserve"> ISQM is wel </w:t>
      </w:r>
      <w:r w:rsidR="61187880" w:rsidRPr="6185AFEA">
        <w:rPr>
          <w:rFonts w:cs="Calibri"/>
        </w:rPr>
        <w:lastRenderedPageBreak/>
        <w:t>gedetailleerder dan de bestaande regelgeving en kent uitgebreidere toelichtende paragrafen.</w:t>
      </w:r>
    </w:p>
    <w:p w14:paraId="69163CE2" w14:textId="6D89B34C" w:rsidR="00D00E23" w:rsidRDefault="00D00E23" w:rsidP="00F15ACB">
      <w:pPr>
        <w:pStyle w:val="Lijstalinea"/>
        <w:numPr>
          <w:ilvl w:val="0"/>
          <w:numId w:val="7"/>
        </w:numPr>
        <w:rPr>
          <w:rFonts w:eastAsia="Times New Roman"/>
        </w:rPr>
      </w:pPr>
      <w:r>
        <w:rPr>
          <w:rFonts w:eastAsia="Times New Roman"/>
        </w:rPr>
        <w:t>Hoe kun je in het project rekening houden met MKB-aspecten</w:t>
      </w:r>
      <w:r w:rsidR="007B28E0">
        <w:rPr>
          <w:rFonts w:eastAsia="Times New Roman"/>
        </w:rPr>
        <w:t>:</w:t>
      </w:r>
    </w:p>
    <w:p w14:paraId="4CAF6927" w14:textId="364237A4" w:rsidR="00EB561B" w:rsidRDefault="00EB561B" w:rsidP="00EB561B">
      <w:pPr>
        <w:pStyle w:val="Lijstalinea"/>
        <w:numPr>
          <w:ilvl w:val="1"/>
          <w:numId w:val="7"/>
        </w:numPr>
        <w:rPr>
          <w:rFonts w:eastAsia="Times New Roman"/>
        </w:rPr>
      </w:pPr>
      <w:r>
        <w:rPr>
          <w:rFonts w:eastAsia="Times New Roman"/>
        </w:rPr>
        <w:t>Is de benodigde MKB-kennis aanwezig in het project team?</w:t>
      </w:r>
    </w:p>
    <w:p w14:paraId="5DDF1F58" w14:textId="59A173C5" w:rsidR="00311605" w:rsidRPr="007540E2" w:rsidRDefault="00342091" w:rsidP="004C429E">
      <w:pPr>
        <w:ind w:left="1985"/>
        <w:rPr>
          <w:rFonts w:eastAsia="Times New Roman"/>
        </w:rPr>
      </w:pPr>
      <w:r>
        <w:rPr>
          <w:rFonts w:eastAsia="Times New Roman"/>
        </w:rPr>
        <w:t xml:space="preserve">Voor het vertalen van de standaard is geen specifieke MKB-kennis noodzakelijk, daar is juist de consistentie van vertaling belangrijk. De tools en hulpmiddelen worden zoveel mogelijk internationaal betrokken. Verder zal door overleg met Platform </w:t>
      </w:r>
      <w:r w:rsidR="000D2E0D">
        <w:rPr>
          <w:rFonts w:eastAsia="Times New Roman"/>
        </w:rPr>
        <w:t xml:space="preserve">RV </w:t>
      </w:r>
      <w:r>
        <w:rPr>
          <w:rFonts w:eastAsia="Times New Roman"/>
        </w:rPr>
        <w:t xml:space="preserve">en </w:t>
      </w:r>
      <w:r w:rsidR="00AC2B6C">
        <w:rPr>
          <w:rFonts w:eastAsia="Times New Roman"/>
        </w:rPr>
        <w:t xml:space="preserve">de </w:t>
      </w:r>
      <w:r>
        <w:rPr>
          <w:rFonts w:eastAsia="Times New Roman"/>
        </w:rPr>
        <w:t xml:space="preserve">MKB-commissie input worden </w:t>
      </w:r>
      <w:r w:rsidR="00AC2B6C">
        <w:rPr>
          <w:rFonts w:eastAsia="Times New Roman"/>
        </w:rPr>
        <w:t>opgehaald</w:t>
      </w:r>
      <w:r>
        <w:rPr>
          <w:rFonts w:eastAsia="Times New Roman"/>
        </w:rPr>
        <w:t>.</w:t>
      </w:r>
    </w:p>
    <w:p w14:paraId="3A3E94E3" w14:textId="3E979EB6" w:rsidR="00D00E23" w:rsidRDefault="00D00E23" w:rsidP="00D00E23">
      <w:pPr>
        <w:pStyle w:val="Lijstalinea"/>
        <w:numPr>
          <w:ilvl w:val="1"/>
          <w:numId w:val="7"/>
        </w:numPr>
        <w:rPr>
          <w:rFonts w:eastAsia="Times New Roman"/>
        </w:rPr>
      </w:pPr>
      <w:r>
        <w:rPr>
          <w:rFonts w:eastAsia="Times New Roman"/>
        </w:rPr>
        <w:t>Is schaalbaarheid mogelijk</w:t>
      </w:r>
      <w:r w:rsidR="00304BFB">
        <w:rPr>
          <w:rFonts w:eastAsia="Times New Roman"/>
        </w:rPr>
        <w:t>/wenselijk</w:t>
      </w:r>
      <w:r>
        <w:rPr>
          <w:rFonts w:eastAsia="Times New Roman"/>
        </w:rPr>
        <w:t xml:space="preserve"> in de regelgeving?</w:t>
      </w:r>
      <w:r w:rsidR="006D085F">
        <w:rPr>
          <w:rFonts w:eastAsia="Times New Roman"/>
        </w:rPr>
        <w:t xml:space="preserve"> </w:t>
      </w:r>
      <w:r w:rsidR="002A5788">
        <w:rPr>
          <w:rFonts w:eastAsia="Times New Roman"/>
        </w:rPr>
        <w:t>Z</w:t>
      </w:r>
      <w:r w:rsidR="005C3C4F">
        <w:rPr>
          <w:rFonts w:eastAsia="Times New Roman"/>
        </w:rPr>
        <w:t>ijn er alternatieven?</w:t>
      </w:r>
    </w:p>
    <w:p w14:paraId="0C0A4805" w14:textId="21E33B8A" w:rsidR="00342091" w:rsidRPr="007540E2" w:rsidRDefault="00342091" w:rsidP="004C429E">
      <w:pPr>
        <w:ind w:left="1985"/>
        <w:rPr>
          <w:rFonts w:eastAsia="Times New Roman"/>
        </w:rPr>
      </w:pPr>
      <w:r>
        <w:rPr>
          <w:rFonts w:eastAsia="Times New Roman"/>
        </w:rPr>
        <w:t xml:space="preserve">Schaalbaarheid is een uitdrukkelijk ontwerpcriterium geweest bij het opstellen van ISQM. Die komt dus mee </w:t>
      </w:r>
      <w:r w:rsidR="00703EEC">
        <w:rPr>
          <w:rFonts w:eastAsia="Times New Roman"/>
        </w:rPr>
        <w:t>naar de Nederlandse standaarden.</w:t>
      </w:r>
    </w:p>
    <w:p w14:paraId="483D9F1F" w14:textId="71EFCB5D" w:rsidR="00EB561B" w:rsidRDefault="00D00E23" w:rsidP="00C23FEE">
      <w:pPr>
        <w:pStyle w:val="Lijstalinea"/>
        <w:numPr>
          <w:ilvl w:val="1"/>
          <w:numId w:val="7"/>
        </w:numPr>
        <w:rPr>
          <w:rFonts w:eastAsia="Times New Roman"/>
        </w:rPr>
      </w:pPr>
      <w:r w:rsidRPr="00C23FEE">
        <w:rPr>
          <w:rFonts w:eastAsia="Times New Roman"/>
        </w:rPr>
        <w:t xml:space="preserve">Is </w:t>
      </w:r>
      <w:r w:rsidR="00256946">
        <w:rPr>
          <w:rFonts w:eastAsia="Times New Roman"/>
        </w:rPr>
        <w:t xml:space="preserve">bij </w:t>
      </w:r>
      <w:r w:rsidR="00256946" w:rsidRPr="00C23FEE">
        <w:rPr>
          <w:rFonts w:eastAsia="Times New Roman"/>
        </w:rPr>
        <w:t>de uitleg van de regelgeving</w:t>
      </w:r>
      <w:r w:rsidR="00256946">
        <w:rPr>
          <w:rFonts w:eastAsia="Times New Roman"/>
        </w:rPr>
        <w:t xml:space="preserve"> </w:t>
      </w:r>
      <w:r w:rsidR="00CA3200">
        <w:rPr>
          <w:rFonts w:eastAsia="Times New Roman"/>
        </w:rPr>
        <w:t xml:space="preserve">specifieke </w:t>
      </w:r>
      <w:r w:rsidR="00EB561B" w:rsidRPr="00C23FEE">
        <w:rPr>
          <w:rFonts w:eastAsia="Times New Roman"/>
        </w:rPr>
        <w:t xml:space="preserve">aandacht </w:t>
      </w:r>
      <w:r w:rsidR="00031375">
        <w:rPr>
          <w:rFonts w:eastAsia="Times New Roman"/>
        </w:rPr>
        <w:t>nodig</w:t>
      </w:r>
      <w:r w:rsidR="00EB561B" w:rsidRPr="00C23FEE">
        <w:rPr>
          <w:rFonts w:eastAsia="Times New Roman"/>
        </w:rPr>
        <w:t>/wenselijk</w:t>
      </w:r>
      <w:r w:rsidR="00EB561B">
        <w:rPr>
          <w:rFonts w:eastAsia="Times New Roman"/>
        </w:rPr>
        <w:t xml:space="preserve">, zoals een </w:t>
      </w:r>
      <w:r w:rsidR="00031375">
        <w:rPr>
          <w:rFonts w:eastAsia="Times New Roman"/>
        </w:rPr>
        <w:t>afzonderlijk</w:t>
      </w:r>
      <w:r w:rsidR="00EB561B">
        <w:rPr>
          <w:rFonts w:eastAsia="Times New Roman"/>
        </w:rPr>
        <w:t xml:space="preserve"> hoofdstuk</w:t>
      </w:r>
      <w:r w:rsidR="00C23FEE" w:rsidRPr="00C23FEE">
        <w:rPr>
          <w:rFonts w:eastAsia="Times New Roman"/>
        </w:rPr>
        <w:t>?</w:t>
      </w:r>
      <w:r w:rsidR="007B28E0" w:rsidRPr="00C23FEE">
        <w:rPr>
          <w:rFonts w:eastAsia="Times New Roman"/>
        </w:rPr>
        <w:t xml:space="preserve"> </w:t>
      </w:r>
      <w:r w:rsidR="00C23FEE" w:rsidRPr="00C23FEE">
        <w:rPr>
          <w:rFonts w:eastAsia="Times New Roman"/>
        </w:rPr>
        <w:t xml:space="preserve"> </w:t>
      </w:r>
    </w:p>
    <w:p w14:paraId="322D1DE2" w14:textId="6C1E280E" w:rsidR="00703EEC" w:rsidRPr="007540E2" w:rsidRDefault="00A65B40" w:rsidP="004C429E">
      <w:pPr>
        <w:ind w:left="1985"/>
        <w:rPr>
          <w:rFonts w:eastAsia="Times New Roman"/>
        </w:rPr>
      </w:pPr>
      <w:r>
        <w:rPr>
          <w:rFonts w:eastAsia="Times New Roman"/>
        </w:rPr>
        <w:t>De regelgeving zelf is, evenals de Standaarden, internationaal dus biedt geen ruimte voor aanvullende hoofdstukken/paragrafen. Wel zullen er tools en andere hulpmiddelen beschikbaar worden gesteld</w:t>
      </w:r>
    </w:p>
    <w:p w14:paraId="3AA283A4" w14:textId="4C634A5C" w:rsidR="006D085F" w:rsidRDefault="00C23FEE" w:rsidP="00C23FEE">
      <w:pPr>
        <w:pStyle w:val="Lijstalinea"/>
        <w:numPr>
          <w:ilvl w:val="1"/>
          <w:numId w:val="7"/>
        </w:numPr>
        <w:rPr>
          <w:rFonts w:eastAsia="Times New Roman"/>
        </w:rPr>
      </w:pPr>
      <w:r w:rsidRPr="6185AFEA">
        <w:rPr>
          <w:rFonts w:eastAsia="Times New Roman"/>
        </w:rPr>
        <w:t>I</w:t>
      </w:r>
      <w:r w:rsidR="006D085F" w:rsidRPr="6185AFEA">
        <w:rPr>
          <w:rFonts w:eastAsia="Times New Roman"/>
        </w:rPr>
        <w:t xml:space="preserve">s </w:t>
      </w:r>
      <w:r w:rsidR="00EB561B" w:rsidRPr="6185AFEA">
        <w:rPr>
          <w:rFonts w:eastAsia="Times New Roman"/>
        </w:rPr>
        <w:t xml:space="preserve">bij de implementatie </w:t>
      </w:r>
      <w:r w:rsidR="00F7668E" w:rsidRPr="6185AFEA">
        <w:rPr>
          <w:rFonts w:eastAsia="Times New Roman"/>
        </w:rPr>
        <w:t>aanvullende</w:t>
      </w:r>
      <w:r w:rsidR="006D085F" w:rsidRPr="6185AFEA">
        <w:rPr>
          <w:rFonts w:eastAsia="Times New Roman"/>
        </w:rPr>
        <w:t xml:space="preserve"> communicatie</w:t>
      </w:r>
      <w:r w:rsidR="00CA3200" w:rsidRPr="6185AFEA">
        <w:rPr>
          <w:rFonts w:eastAsia="Times New Roman"/>
        </w:rPr>
        <w:t xml:space="preserve"> </w:t>
      </w:r>
      <w:r w:rsidR="00256946" w:rsidRPr="6185AFEA">
        <w:rPr>
          <w:rFonts w:eastAsia="Times New Roman"/>
        </w:rPr>
        <w:t>nodig</w:t>
      </w:r>
      <w:r w:rsidR="00CA3200" w:rsidRPr="6185AFEA">
        <w:rPr>
          <w:rFonts w:eastAsia="Times New Roman"/>
        </w:rPr>
        <w:t>/wenselijk, zoals een webinar</w:t>
      </w:r>
      <w:r w:rsidR="006D085F" w:rsidRPr="6185AFEA">
        <w:rPr>
          <w:rFonts w:eastAsia="Times New Roman"/>
        </w:rPr>
        <w:t>?</w:t>
      </w:r>
    </w:p>
    <w:p w14:paraId="4DEDC218" w14:textId="73A9C16A" w:rsidR="00A65B40" w:rsidRPr="007540E2" w:rsidRDefault="7206B6AD" w:rsidP="004C429E">
      <w:pPr>
        <w:ind w:left="1985"/>
        <w:rPr>
          <w:rFonts w:eastAsia="Times New Roman"/>
        </w:rPr>
      </w:pPr>
      <w:r w:rsidRPr="6185AFEA">
        <w:rPr>
          <w:rFonts w:cs="Calibri"/>
        </w:rPr>
        <w:t xml:space="preserve">Ja, wij verwachten dat het wenselijk is om aanvullende communicatie te organiseren voor met name de kleinere accountantskantoren. </w:t>
      </w:r>
      <w:r w:rsidR="4768AC10" w:rsidRPr="6185AFEA">
        <w:rPr>
          <w:rFonts w:cs="Calibri"/>
        </w:rPr>
        <w:t xml:space="preserve">Hoe uitgebreid dit nodig is, zal </w:t>
      </w:r>
      <w:r w:rsidR="00F44666" w:rsidRPr="6185AFEA">
        <w:rPr>
          <w:rFonts w:eastAsia="Times New Roman"/>
        </w:rPr>
        <w:t xml:space="preserve">ook afhankelijk </w:t>
      </w:r>
      <w:r w:rsidR="7930F134" w:rsidRPr="6185AFEA">
        <w:rPr>
          <w:rFonts w:eastAsia="Times New Roman"/>
        </w:rPr>
        <w:t xml:space="preserve">zijn </w:t>
      </w:r>
      <w:r w:rsidR="00F44666" w:rsidRPr="6185AFEA">
        <w:rPr>
          <w:rFonts w:eastAsia="Times New Roman"/>
        </w:rPr>
        <w:t xml:space="preserve">van de rol die externe serviceproviders oppakken. </w:t>
      </w:r>
    </w:p>
    <w:p w14:paraId="3989B02F" w14:textId="77777777" w:rsidR="00042D33" w:rsidRDefault="00042D33" w:rsidP="00EB7E5D">
      <w:pPr>
        <w:pStyle w:val="Geenafstand"/>
        <w:rPr>
          <w:rStyle w:val="Intensievebenadrukking"/>
        </w:rPr>
      </w:pPr>
      <w:r>
        <w:rPr>
          <w:rStyle w:val="Intensievebenadrukking"/>
        </w:rPr>
        <w:t>Risico’s</w:t>
      </w:r>
    </w:p>
    <w:p w14:paraId="0ACB6C3E" w14:textId="1CEF7167" w:rsidR="00EB7E5D" w:rsidRDefault="00E50D06" w:rsidP="00EB7E5D">
      <w:pPr>
        <w:pStyle w:val="Geenafstand"/>
        <w:rPr>
          <w:rStyle w:val="Intensievebenadrukking"/>
          <w:b w:val="0"/>
          <w:bCs w:val="0"/>
          <w:color w:val="auto"/>
        </w:rPr>
      </w:pPr>
      <w:r>
        <w:rPr>
          <w:rStyle w:val="Intensievebenadrukking"/>
          <w:b w:val="0"/>
          <w:bCs w:val="0"/>
          <w:color w:val="auto"/>
        </w:rPr>
        <w:t>Organisatorische knelpunten/risico’s</w:t>
      </w:r>
    </w:p>
    <w:p w14:paraId="238524C7" w14:textId="77777777" w:rsidR="00634A3A" w:rsidRDefault="00634A3A" w:rsidP="00634A3A">
      <w:pPr>
        <w:pStyle w:val="Geenafstand"/>
        <w:numPr>
          <w:ilvl w:val="0"/>
          <w:numId w:val="12"/>
        </w:numPr>
      </w:pPr>
      <w:r>
        <w:t>Andere regelgevende trajecten (o.a. aanpassingen ViO) die lopen</w:t>
      </w:r>
    </w:p>
    <w:p w14:paraId="45E0B6FE" w14:textId="77777777" w:rsidR="00634A3A" w:rsidRDefault="00634A3A" w:rsidP="00634A3A">
      <w:pPr>
        <w:pStyle w:val="Geenafstand"/>
        <w:numPr>
          <w:ilvl w:val="0"/>
          <w:numId w:val="12"/>
        </w:numPr>
      </w:pPr>
      <w:r>
        <w:t>Project regelverbetering</w:t>
      </w:r>
    </w:p>
    <w:p w14:paraId="58D8F9CD" w14:textId="3FBE31D8" w:rsidR="00634A3A" w:rsidRDefault="00634A3A" w:rsidP="00634A3A">
      <w:pPr>
        <w:pStyle w:val="Geenafstand"/>
        <w:numPr>
          <w:ilvl w:val="0"/>
          <w:numId w:val="12"/>
        </w:numPr>
      </w:pPr>
      <w:r>
        <w:t xml:space="preserve">Aanpassingen Wta/Bta </w:t>
      </w:r>
      <w:r w:rsidR="004C429E">
        <w:t>i.v.m.</w:t>
      </w:r>
      <w:r>
        <w:t xml:space="preserve"> CSRD en wijzigingswet accountancysector</w:t>
      </w:r>
    </w:p>
    <w:p w14:paraId="16F40AE9" w14:textId="77777777" w:rsidR="00634A3A" w:rsidRPr="00E81D58" w:rsidRDefault="00634A3A" w:rsidP="00634A3A">
      <w:pPr>
        <w:pStyle w:val="Geenafstand"/>
        <w:numPr>
          <w:ilvl w:val="0"/>
          <w:numId w:val="12"/>
        </w:numPr>
      </w:pPr>
      <w:r>
        <w:t>Inregelen BOB en nieuwe beroepsreglementeringsproces</w:t>
      </w:r>
    </w:p>
    <w:p w14:paraId="65EF2429" w14:textId="77777777" w:rsidR="00AD747F" w:rsidRDefault="00AD747F" w:rsidP="00EB7E5D">
      <w:pPr>
        <w:pStyle w:val="Geenafstand"/>
        <w:rPr>
          <w:rStyle w:val="Intensievebenadrukking"/>
          <w:b w:val="0"/>
          <w:bCs w:val="0"/>
          <w:color w:val="auto"/>
        </w:rPr>
      </w:pPr>
    </w:p>
    <w:p w14:paraId="7332E412" w14:textId="151BC8B2" w:rsidR="00E50D06" w:rsidRPr="00E50D06" w:rsidRDefault="00634A3A" w:rsidP="00EB7E5D">
      <w:pPr>
        <w:pStyle w:val="Geenafstand"/>
        <w:rPr>
          <w:rStyle w:val="Intensievebenadrukking"/>
          <w:b w:val="0"/>
          <w:bCs w:val="0"/>
          <w:color w:val="auto"/>
        </w:rPr>
      </w:pPr>
      <w:r>
        <w:rPr>
          <w:rStyle w:val="Intensievebenadrukking"/>
          <w:b w:val="0"/>
          <w:bCs w:val="0"/>
          <w:color w:val="auto"/>
        </w:rPr>
        <w:t>Inhoudelijke knelpunten</w:t>
      </w:r>
    </w:p>
    <w:p w14:paraId="0508ED42" w14:textId="77777777" w:rsidR="00ED2C3B" w:rsidRDefault="00ED2C3B" w:rsidP="00ED2C3B">
      <w:pPr>
        <w:pStyle w:val="Geenafstand"/>
        <w:numPr>
          <w:ilvl w:val="0"/>
          <w:numId w:val="12"/>
        </w:numPr>
      </w:pPr>
      <w:r>
        <w:t>Aansluiting/raakvlakken met Wta/Bta bepalingen</w:t>
      </w:r>
    </w:p>
    <w:p w14:paraId="4282A80F" w14:textId="77777777" w:rsidR="00ED2C3B" w:rsidRDefault="00ED2C3B" w:rsidP="00ED2C3B">
      <w:pPr>
        <w:pStyle w:val="Geenafstand"/>
        <w:numPr>
          <w:ilvl w:val="0"/>
          <w:numId w:val="12"/>
        </w:numPr>
      </w:pPr>
      <w:r>
        <w:t>Regeldruk en ondersteuning kleinere praktijken</w:t>
      </w:r>
    </w:p>
    <w:p w14:paraId="2976324C" w14:textId="77777777" w:rsidR="00ED2C3B" w:rsidRDefault="00ED2C3B" w:rsidP="00ED2C3B">
      <w:pPr>
        <w:pStyle w:val="Geenafstand"/>
        <w:numPr>
          <w:ilvl w:val="0"/>
          <w:numId w:val="12"/>
        </w:numPr>
      </w:pPr>
      <w:r>
        <w:t>Kleine kantoren regime in NVKS</w:t>
      </w:r>
    </w:p>
    <w:p w14:paraId="39043F65" w14:textId="17209F36" w:rsidR="00EB7E5D" w:rsidRPr="00E81D58" w:rsidRDefault="00EB7E5D" w:rsidP="00EB7E5D">
      <w:pPr>
        <w:pStyle w:val="Geenafstand"/>
      </w:pPr>
    </w:p>
    <w:p w14:paraId="0D43EB11" w14:textId="54FD13B7" w:rsidR="00EB7E5D" w:rsidRPr="001305E3" w:rsidRDefault="00042D33" w:rsidP="00EB7E5D">
      <w:pPr>
        <w:pStyle w:val="Geenafstand"/>
        <w:rPr>
          <w:rStyle w:val="Intensievebenadrukking"/>
        </w:rPr>
      </w:pPr>
      <w:r>
        <w:rPr>
          <w:rStyle w:val="Intensievebenadrukking"/>
        </w:rPr>
        <w:t xml:space="preserve">Project organisatie en </w:t>
      </w:r>
      <w:r w:rsidR="00EB7E5D" w:rsidRPr="001305E3">
        <w:rPr>
          <w:rStyle w:val="Intensievebenadrukking"/>
        </w:rPr>
        <w:t>Stakeholders</w:t>
      </w:r>
    </w:p>
    <w:p w14:paraId="22B6E00E" w14:textId="77777777" w:rsidR="00603F2D" w:rsidRDefault="00603F2D" w:rsidP="00603F2D">
      <w:pPr>
        <w:pStyle w:val="Geenafstand"/>
        <w:numPr>
          <w:ilvl w:val="0"/>
          <w:numId w:val="12"/>
        </w:numPr>
      </w:pPr>
      <w:r>
        <w:t>Accountantseenheden</w:t>
      </w:r>
    </w:p>
    <w:p w14:paraId="5CBE3D7E" w14:textId="77777777" w:rsidR="00603F2D" w:rsidRDefault="00603F2D" w:rsidP="00603F2D">
      <w:pPr>
        <w:pStyle w:val="Geenafstand"/>
        <w:numPr>
          <w:ilvl w:val="1"/>
          <w:numId w:val="12"/>
        </w:numPr>
      </w:pPr>
      <w:r>
        <w:t>OOB</w:t>
      </w:r>
    </w:p>
    <w:p w14:paraId="094A04C3" w14:textId="77777777" w:rsidR="00603F2D" w:rsidRDefault="00603F2D" w:rsidP="00603F2D">
      <w:pPr>
        <w:pStyle w:val="Geenafstand"/>
        <w:numPr>
          <w:ilvl w:val="1"/>
          <w:numId w:val="12"/>
        </w:numPr>
      </w:pPr>
      <w:r>
        <w:t>Kleinere en middelgrote vergunninghouders</w:t>
      </w:r>
    </w:p>
    <w:p w14:paraId="77A55539" w14:textId="77777777" w:rsidR="00603F2D" w:rsidRDefault="00603F2D" w:rsidP="00603F2D">
      <w:pPr>
        <w:pStyle w:val="Geenafstand"/>
        <w:numPr>
          <w:ilvl w:val="1"/>
          <w:numId w:val="12"/>
        </w:numPr>
      </w:pPr>
      <w:r>
        <w:t>Niet-vergunninghouders</w:t>
      </w:r>
    </w:p>
    <w:p w14:paraId="1CC3683E" w14:textId="77777777" w:rsidR="00603F2D" w:rsidRDefault="00603F2D" w:rsidP="00603F2D">
      <w:pPr>
        <w:pStyle w:val="Geenafstand"/>
        <w:numPr>
          <w:ilvl w:val="0"/>
          <w:numId w:val="12"/>
        </w:numPr>
      </w:pPr>
      <w:r>
        <w:t>AFM</w:t>
      </w:r>
    </w:p>
    <w:p w14:paraId="0F82C1CE" w14:textId="77777777" w:rsidR="00603F2D" w:rsidRDefault="00603F2D" w:rsidP="00603F2D">
      <w:pPr>
        <w:pStyle w:val="Geenafstand"/>
        <w:numPr>
          <w:ilvl w:val="0"/>
          <w:numId w:val="12"/>
        </w:numPr>
      </w:pPr>
      <w:r>
        <w:t>MinFin</w:t>
      </w:r>
    </w:p>
    <w:p w14:paraId="72E54DD6" w14:textId="77777777" w:rsidR="00EB7E5D" w:rsidRDefault="00EB7E5D" w:rsidP="00EB7E5D">
      <w:pPr>
        <w:pStyle w:val="Geenafstand"/>
      </w:pPr>
    </w:p>
    <w:p w14:paraId="4114423D" w14:textId="580314F3" w:rsidR="002861EB" w:rsidRDefault="002861EB" w:rsidP="00EB7E5D">
      <w:pPr>
        <w:pStyle w:val="Geenafstand"/>
      </w:pPr>
      <w:r>
        <w:rPr>
          <w:rStyle w:val="Intensievebenadrukking"/>
        </w:rPr>
        <w:t>Projectbegroting</w:t>
      </w:r>
    </w:p>
    <w:p w14:paraId="662D14EE" w14:textId="1F6694D0" w:rsidR="00D90FD9" w:rsidRDefault="00230C43">
      <w:pPr>
        <w:pStyle w:val="Geenafstand"/>
      </w:pPr>
      <w:r>
        <w:t xml:space="preserve">Het project wordt uitgevoerd door </w:t>
      </w:r>
      <w:r w:rsidR="002A6210">
        <w:t>vaktechnisch me</w:t>
      </w:r>
      <w:r w:rsidR="00364AB1">
        <w:t>d</w:t>
      </w:r>
      <w:r w:rsidR="002A6210">
        <w:t>e</w:t>
      </w:r>
      <w:r w:rsidR="00364AB1">
        <w:t>w</w:t>
      </w:r>
      <w:r w:rsidR="002A6210">
        <w:t xml:space="preserve">erkers </w:t>
      </w:r>
      <w:r>
        <w:t xml:space="preserve">van het bureau, met toetsing in de diverse commissies. </w:t>
      </w:r>
      <w:r w:rsidR="00604496">
        <w:t xml:space="preserve">Het CB en de SCA </w:t>
      </w:r>
      <w:r w:rsidR="00F37053">
        <w:t xml:space="preserve">voorzien geen out-of-pocket uitgaven. </w:t>
      </w:r>
      <w:r w:rsidR="007263C5">
        <w:t xml:space="preserve">Voor zover andere </w:t>
      </w:r>
      <w:r w:rsidR="007263C5">
        <w:lastRenderedPageBreak/>
        <w:t>commissies of gremia</w:t>
      </w:r>
      <w:r w:rsidR="1CC5BA1B" w:rsidRPr="6185AFEA">
        <w:rPr>
          <w:rFonts w:cs="Calibri"/>
        </w:rPr>
        <w:t>, waaronder de MKB commissie,</w:t>
      </w:r>
      <w:r w:rsidR="007263C5">
        <w:t xml:space="preserve"> </w:t>
      </w:r>
      <w:r w:rsidR="00CB6E6F">
        <w:t xml:space="preserve">out-of-pocket uitgaven noodzakelijk achten, </w:t>
      </w:r>
      <w:r w:rsidR="00364AB1">
        <w:t xml:space="preserve">zoals </w:t>
      </w:r>
      <w:r w:rsidR="00031862">
        <w:t xml:space="preserve">bijv. een webinar, </w:t>
      </w:r>
      <w:r w:rsidR="00CB6E6F">
        <w:t>zullen zij binnen hun eigen begroting daarin moeten voorzien.</w:t>
      </w:r>
    </w:p>
    <w:p w14:paraId="74EBAE5A" w14:textId="77777777" w:rsidR="002861EB" w:rsidRPr="00603F2D" w:rsidRDefault="002861EB" w:rsidP="00EB7E5D">
      <w:pPr>
        <w:pStyle w:val="Geenafstand"/>
      </w:pPr>
    </w:p>
    <w:p w14:paraId="61E7F92F" w14:textId="7DA3FB5F" w:rsidR="00EB7E5D" w:rsidRPr="001305E3" w:rsidRDefault="00EB7E5D" w:rsidP="00EB7E5D">
      <w:pPr>
        <w:pStyle w:val="Geenafstand"/>
        <w:rPr>
          <w:rStyle w:val="Intensievebenadrukking"/>
        </w:rPr>
      </w:pPr>
      <w:r>
        <w:rPr>
          <w:rStyle w:val="Intensievebenadrukking"/>
        </w:rPr>
        <w:t>Projectplanning</w:t>
      </w:r>
      <w:r w:rsidR="002861EB">
        <w:rPr>
          <w:rStyle w:val="Intensievebenadrukking"/>
        </w:rPr>
        <w:t>,</w:t>
      </w:r>
      <w:r w:rsidR="002861EB" w:rsidRPr="002861EB">
        <w:t xml:space="preserve"> </w:t>
      </w:r>
      <w:r w:rsidR="002861EB" w:rsidRPr="002861EB">
        <w:rPr>
          <w:rStyle w:val="Intensievebenadrukking"/>
        </w:rPr>
        <w:t>fasering, mijlpalen, resources</w:t>
      </w:r>
    </w:p>
    <w:p w14:paraId="3131A977" w14:textId="6CED7F6C" w:rsidR="003C7363" w:rsidRDefault="003C7363" w:rsidP="00B47739">
      <w:pPr>
        <w:tabs>
          <w:tab w:val="left" w:pos="4962"/>
        </w:tabs>
        <w:spacing w:after="0" w:line="240" w:lineRule="auto"/>
      </w:pPr>
      <w:r>
        <w:t>Bespreking met MinFin over ISQM</w:t>
      </w:r>
      <w:r>
        <w:tab/>
      </w:r>
      <w:r>
        <w:tab/>
        <w:t>:</w:t>
      </w:r>
      <w:r>
        <w:tab/>
        <w:t>januari 2024</w:t>
      </w:r>
    </w:p>
    <w:p w14:paraId="593F0D1A" w14:textId="3A2F70D8" w:rsidR="003C7363" w:rsidRDefault="003C7363" w:rsidP="004C429E">
      <w:pPr>
        <w:spacing w:after="0" w:line="240" w:lineRule="auto"/>
      </w:pPr>
      <w:r>
        <w:t>Aanleveren Projectplan door CB</w:t>
      </w:r>
      <w:r>
        <w:tab/>
      </w:r>
      <w:r>
        <w:tab/>
      </w:r>
      <w:r>
        <w:tab/>
      </w:r>
      <w:r w:rsidR="00B47739">
        <w:tab/>
      </w:r>
      <w:r>
        <w:t>:</w:t>
      </w:r>
      <w:r>
        <w:tab/>
        <w:t>15 januari 2024</w:t>
      </w:r>
    </w:p>
    <w:p w14:paraId="62E6743D" w14:textId="4908EF33" w:rsidR="003C7363" w:rsidRDefault="003C7363" w:rsidP="003C7363">
      <w:pPr>
        <w:spacing w:after="0" w:line="240" w:lineRule="auto"/>
      </w:pPr>
      <w:r>
        <w:t>Bespreken kernissues uit NVKS en VAO overgang</w:t>
      </w:r>
      <w:r>
        <w:tab/>
      </w:r>
      <w:r w:rsidR="00B47739">
        <w:tab/>
      </w:r>
      <w:r>
        <w:t>:</w:t>
      </w:r>
      <w:r>
        <w:tab/>
        <w:t>voor 24 januari 2024</w:t>
      </w:r>
    </w:p>
    <w:p w14:paraId="3E06212D" w14:textId="76CD6478" w:rsidR="003C7363" w:rsidRDefault="003C7363" w:rsidP="003C7363">
      <w:pPr>
        <w:spacing w:after="0" w:line="240" w:lineRule="auto"/>
      </w:pPr>
      <w:r>
        <w:t>Goedkeuring Projectplan door CB</w:t>
      </w:r>
      <w:r>
        <w:tab/>
      </w:r>
      <w:r>
        <w:tab/>
      </w:r>
      <w:r>
        <w:tab/>
      </w:r>
      <w:r w:rsidR="00B47739">
        <w:tab/>
      </w:r>
      <w:r>
        <w:t>:</w:t>
      </w:r>
      <w:r>
        <w:tab/>
        <w:t>25 januari 2024</w:t>
      </w:r>
    </w:p>
    <w:p w14:paraId="0C338D19" w14:textId="409453D8" w:rsidR="003C7363" w:rsidRDefault="003C7363" w:rsidP="003C7363">
      <w:pPr>
        <w:spacing w:after="0" w:line="240" w:lineRule="auto"/>
      </w:pPr>
      <w:r>
        <w:t>Onderzoek naar ondersteunende materialen (MKB)</w:t>
      </w:r>
      <w:r>
        <w:tab/>
      </w:r>
      <w:r w:rsidR="00B47739">
        <w:tab/>
      </w:r>
      <w:r>
        <w:t>:</w:t>
      </w:r>
      <w:r>
        <w:tab/>
        <w:t>jan-mrt 2024</w:t>
      </w:r>
    </w:p>
    <w:p w14:paraId="30B8B214" w14:textId="15614FE0" w:rsidR="003C7363" w:rsidRDefault="003C7363" w:rsidP="003C7363">
      <w:pPr>
        <w:spacing w:after="0" w:line="240" w:lineRule="auto"/>
      </w:pPr>
      <w:r>
        <w:t>Projectplan ter info naar Bestuur</w:t>
      </w:r>
      <w:r>
        <w:tab/>
      </w:r>
      <w:r>
        <w:tab/>
      </w:r>
      <w:r>
        <w:tab/>
      </w:r>
      <w:r w:rsidR="00B47739">
        <w:tab/>
      </w:r>
      <w:r>
        <w:t>:</w:t>
      </w:r>
      <w:r>
        <w:tab/>
        <w:t>30 januari 2024</w:t>
      </w:r>
    </w:p>
    <w:p w14:paraId="3894735F" w14:textId="51420603" w:rsidR="003C7363" w:rsidRDefault="003C7363" w:rsidP="003C7363">
      <w:pPr>
        <w:spacing w:after="0" w:line="240" w:lineRule="auto"/>
      </w:pPr>
      <w:r>
        <w:t>Vertalingsovereenkomst aanvragen IFAC</w:t>
      </w:r>
      <w:r>
        <w:tab/>
      </w:r>
      <w:r>
        <w:tab/>
      </w:r>
      <w:r w:rsidR="00B47739">
        <w:tab/>
      </w:r>
      <w:r>
        <w:t>:</w:t>
      </w:r>
      <w:r>
        <w:tab/>
        <w:t>31 januari 2024</w:t>
      </w:r>
    </w:p>
    <w:p w14:paraId="321ACFA4" w14:textId="6E3E465F" w:rsidR="003C7363" w:rsidRDefault="003C7363" w:rsidP="003C7363">
      <w:pPr>
        <w:spacing w:after="0" w:line="240" w:lineRule="auto"/>
      </w:pPr>
      <w:r>
        <w:t xml:space="preserve">Bespreken hoofdlijn implementatie aanpak met SCA </w:t>
      </w:r>
      <w:r>
        <w:tab/>
      </w:r>
      <w:r w:rsidR="00B47739">
        <w:tab/>
      </w:r>
      <w:r>
        <w:t>:</w:t>
      </w:r>
      <w:r>
        <w:tab/>
        <w:t>31 januari 2024</w:t>
      </w:r>
    </w:p>
    <w:p w14:paraId="499C8F09" w14:textId="661E9954" w:rsidR="003C7363" w:rsidRDefault="003C7363" w:rsidP="003C7363">
      <w:pPr>
        <w:spacing w:after="0" w:line="240" w:lineRule="auto"/>
      </w:pPr>
      <w:r>
        <w:t>Aanlevering SKM 1 naar SCA</w:t>
      </w:r>
      <w:r>
        <w:tab/>
      </w:r>
      <w:r>
        <w:tab/>
      </w:r>
      <w:r>
        <w:tab/>
      </w:r>
      <w:r>
        <w:tab/>
      </w:r>
      <w:r w:rsidR="00B47739">
        <w:tab/>
      </w:r>
      <w:r>
        <w:t>:</w:t>
      </w:r>
      <w:r>
        <w:tab/>
        <w:t>21 februari 2024</w:t>
      </w:r>
    </w:p>
    <w:p w14:paraId="1628188D" w14:textId="3EED1E3B" w:rsidR="003C7363" w:rsidRDefault="003C7363" w:rsidP="003C7363">
      <w:pPr>
        <w:spacing w:after="0" w:line="240" w:lineRule="auto"/>
      </w:pPr>
      <w:r>
        <w:t>Bespreken hoofdlijn implementatie aanpak met CB</w:t>
      </w:r>
      <w:r>
        <w:tab/>
      </w:r>
      <w:r w:rsidR="00B47739">
        <w:tab/>
      </w:r>
      <w:r>
        <w:t>:</w:t>
      </w:r>
      <w:r>
        <w:tab/>
        <w:t>22 februari 2024</w:t>
      </w:r>
    </w:p>
    <w:p w14:paraId="1B428941" w14:textId="29AD9ACC" w:rsidR="003C7363" w:rsidRDefault="003C7363" w:rsidP="003C7363">
      <w:pPr>
        <w:spacing w:after="0" w:line="240" w:lineRule="auto"/>
      </w:pPr>
      <w:r>
        <w:t>Bespreken hoofdlijn implementatie aanpak met Bestuur</w:t>
      </w:r>
      <w:r w:rsidR="00B47739">
        <w:tab/>
      </w:r>
      <w:r>
        <w:t xml:space="preserve">: </w:t>
      </w:r>
      <w:r>
        <w:tab/>
        <w:t>maart 2024</w:t>
      </w:r>
    </w:p>
    <w:p w14:paraId="39832BAF" w14:textId="77777777" w:rsidR="004C429E" w:rsidRDefault="00D222A1" w:rsidP="6185AFEA">
      <w:pPr>
        <w:spacing w:after="0" w:line="240" w:lineRule="auto"/>
      </w:pPr>
      <w:r>
        <w:t xml:space="preserve">Bespreken </w:t>
      </w:r>
      <w:r w:rsidR="00CF102D">
        <w:t>implementatieproject met MKB-Commissie</w:t>
      </w:r>
    </w:p>
    <w:p w14:paraId="5F721BAC" w14:textId="15FA17C3" w:rsidR="004C429E" w:rsidRDefault="00CF102D" w:rsidP="6185AFEA">
      <w:pPr>
        <w:spacing w:after="0" w:line="240" w:lineRule="auto"/>
      </w:pPr>
      <w:r>
        <w:t>en met Platform Reguliere Vergunninghouders</w:t>
      </w:r>
      <w:r w:rsidR="00670CA6">
        <w:t xml:space="preserve"> </w:t>
      </w:r>
    </w:p>
    <w:p w14:paraId="4A3B375A" w14:textId="04184407" w:rsidR="00D222A1" w:rsidRDefault="00670CA6" w:rsidP="6185AFEA">
      <w:pPr>
        <w:spacing w:after="0" w:line="240" w:lineRule="auto"/>
      </w:pPr>
      <w:r>
        <w:t>(</w:t>
      </w:r>
      <w:r w:rsidR="43B3F911" w:rsidRPr="6185AFEA">
        <w:rPr>
          <w:rFonts w:cs="Calibri"/>
        </w:rPr>
        <w:t>iedere de twee maanden</w:t>
      </w:r>
      <w:r>
        <w:t>)</w:t>
      </w:r>
      <w:r w:rsidR="00AD747F">
        <w:tab/>
      </w:r>
      <w:r w:rsidR="004C429E">
        <w:tab/>
      </w:r>
      <w:r w:rsidR="004C429E">
        <w:tab/>
      </w:r>
      <w:r w:rsidR="00AD747F">
        <w:tab/>
      </w:r>
      <w:r w:rsidR="00B47739">
        <w:tab/>
      </w:r>
      <w:r w:rsidR="00CF102D">
        <w:t>:</w:t>
      </w:r>
      <w:r w:rsidR="00D222A1">
        <w:tab/>
      </w:r>
      <w:r w:rsidR="00CF102D">
        <w:t>maart 2024</w:t>
      </w:r>
    </w:p>
    <w:p w14:paraId="3CBFB494" w14:textId="31F671B2" w:rsidR="00D431C0" w:rsidRDefault="000B61C4" w:rsidP="003C7363">
      <w:pPr>
        <w:spacing w:after="0" w:line="240" w:lineRule="auto"/>
      </w:pPr>
      <w:r>
        <w:t>Afronden eerder gemaakte impactanalyse</w:t>
      </w:r>
      <w:r>
        <w:tab/>
      </w:r>
      <w:r>
        <w:tab/>
      </w:r>
      <w:r w:rsidR="00B47739">
        <w:tab/>
      </w:r>
      <w:r>
        <w:t>:</w:t>
      </w:r>
      <w:r>
        <w:tab/>
        <w:t>maart 2024</w:t>
      </w:r>
    </w:p>
    <w:p w14:paraId="187060A6" w14:textId="5674997F" w:rsidR="00951AF4" w:rsidRDefault="00951AF4" w:rsidP="003C7363">
      <w:pPr>
        <w:spacing w:after="0" w:line="240" w:lineRule="auto"/>
      </w:pPr>
      <w:r>
        <w:t>Eerste artikel over ISQM (in beginsel 3-4 maal per jaar)</w:t>
      </w:r>
      <w:r>
        <w:tab/>
      </w:r>
      <w:r w:rsidR="00B47739">
        <w:tab/>
      </w:r>
      <w:r>
        <w:t>:</w:t>
      </w:r>
      <w:r>
        <w:tab/>
        <w:t>maart 2024</w:t>
      </w:r>
    </w:p>
    <w:p w14:paraId="58DE9EC0" w14:textId="77777777" w:rsidR="009C3804" w:rsidRDefault="003C7363" w:rsidP="003C7363">
      <w:pPr>
        <w:spacing w:after="0" w:line="240" w:lineRule="auto"/>
      </w:pPr>
      <w:r>
        <w:t xml:space="preserve">Vertaling concept Standaard voor Kwaliteitsmanagement </w:t>
      </w:r>
    </w:p>
    <w:p w14:paraId="06DB2573" w14:textId="159AA92F" w:rsidR="003C7363" w:rsidRDefault="003C7363" w:rsidP="003C7363">
      <w:pPr>
        <w:spacing w:after="0" w:line="240" w:lineRule="auto"/>
      </w:pPr>
      <w:r>
        <w:t>(SKM) 1 door SCA</w:t>
      </w:r>
      <w:r w:rsidR="004C429E">
        <w:tab/>
      </w:r>
      <w:r w:rsidR="004C429E">
        <w:tab/>
      </w:r>
      <w:r w:rsidR="00B47739">
        <w:tab/>
      </w:r>
      <w:r w:rsidR="009C3804">
        <w:tab/>
      </w:r>
      <w:r w:rsidR="009C3804">
        <w:tab/>
      </w:r>
      <w:r w:rsidR="009C3804">
        <w:tab/>
      </w:r>
      <w:r>
        <w:t>:</w:t>
      </w:r>
      <w:r>
        <w:tab/>
        <w:t>6 maart 2024</w:t>
      </w:r>
    </w:p>
    <w:p w14:paraId="203869C5" w14:textId="5082B169" w:rsidR="003C7363" w:rsidRDefault="003C7363" w:rsidP="003C7363">
      <w:pPr>
        <w:spacing w:after="0" w:line="240" w:lineRule="auto"/>
      </w:pPr>
      <w:r>
        <w:t>Vertaling SKM 1 naar CB</w:t>
      </w:r>
      <w:r>
        <w:tab/>
      </w:r>
      <w:r>
        <w:tab/>
      </w:r>
      <w:r>
        <w:tab/>
      </w:r>
      <w:r>
        <w:tab/>
      </w:r>
      <w:r w:rsidR="00B47739">
        <w:tab/>
      </w:r>
      <w:r>
        <w:t>:</w:t>
      </w:r>
      <w:r>
        <w:tab/>
        <w:t>8 maart 2024</w:t>
      </w:r>
    </w:p>
    <w:p w14:paraId="2F3E7EDD" w14:textId="40DCF557" w:rsidR="003C7363" w:rsidRDefault="003C7363" w:rsidP="003C7363">
      <w:pPr>
        <w:spacing w:after="0" w:line="240" w:lineRule="auto"/>
      </w:pPr>
      <w:r>
        <w:t>Vertaling SKM 1 door CB</w:t>
      </w:r>
      <w:r>
        <w:tab/>
      </w:r>
      <w:r>
        <w:tab/>
      </w:r>
      <w:r>
        <w:tab/>
      </w:r>
      <w:r>
        <w:tab/>
      </w:r>
      <w:r w:rsidR="00B47739">
        <w:tab/>
      </w:r>
      <w:r>
        <w:t>:</w:t>
      </w:r>
      <w:r>
        <w:tab/>
        <w:t>21 maart 2024</w:t>
      </w:r>
    </w:p>
    <w:p w14:paraId="0B95A507" w14:textId="77BCEF88" w:rsidR="003C7363" w:rsidRDefault="003C7363" w:rsidP="003C7363">
      <w:pPr>
        <w:spacing w:after="0" w:line="240" w:lineRule="auto"/>
      </w:pPr>
      <w:r>
        <w:t>Aanlevering SKM en VAO/NVKM 2 aan SCA</w:t>
      </w:r>
      <w:r>
        <w:tab/>
      </w:r>
      <w:r>
        <w:tab/>
      </w:r>
      <w:r w:rsidR="00B47739">
        <w:tab/>
      </w:r>
      <w:r>
        <w:t>:</w:t>
      </w:r>
      <w:r>
        <w:tab/>
        <w:t>27 maart 2024</w:t>
      </w:r>
    </w:p>
    <w:p w14:paraId="06E8AEA0" w14:textId="263E27F3" w:rsidR="003C7363" w:rsidRDefault="003C7363" w:rsidP="003C7363">
      <w:pPr>
        <w:spacing w:after="0" w:line="240" w:lineRule="auto"/>
      </w:pPr>
      <w:r>
        <w:t>Vertalingen concept SKM 2 en VAO/NVKM door SCA</w:t>
      </w:r>
      <w:r>
        <w:tab/>
      </w:r>
      <w:r w:rsidR="00B47739">
        <w:tab/>
      </w:r>
      <w:r>
        <w:t>:</w:t>
      </w:r>
      <w:r>
        <w:tab/>
        <w:t>10 april 2024</w:t>
      </w:r>
    </w:p>
    <w:p w14:paraId="277FE2A1" w14:textId="398F4C5A" w:rsidR="003C7363" w:rsidRDefault="003C7363" w:rsidP="003C7363">
      <w:pPr>
        <w:spacing w:after="0" w:line="240" w:lineRule="auto"/>
      </w:pPr>
      <w:r>
        <w:t>Aanleveren SKM 2 en VAO/NVKM aan CB</w:t>
      </w:r>
      <w:r>
        <w:tab/>
      </w:r>
      <w:r>
        <w:tab/>
      </w:r>
      <w:r w:rsidR="00B47739">
        <w:tab/>
      </w:r>
      <w:r>
        <w:t>:</w:t>
      </w:r>
      <w:r>
        <w:tab/>
        <w:t>15 april 2024</w:t>
      </w:r>
    </w:p>
    <w:p w14:paraId="7025FE4C" w14:textId="4970DF94" w:rsidR="003C7363" w:rsidRDefault="003C7363" w:rsidP="003C7363">
      <w:pPr>
        <w:spacing w:after="0" w:line="240" w:lineRule="auto"/>
      </w:pPr>
      <w:r>
        <w:t>Vertaling SKM 2 en VAO/NVKM door CB</w:t>
      </w:r>
      <w:r>
        <w:tab/>
      </w:r>
      <w:r>
        <w:tab/>
      </w:r>
      <w:r w:rsidR="00B47739">
        <w:tab/>
      </w:r>
      <w:r>
        <w:t>:</w:t>
      </w:r>
      <w:r>
        <w:tab/>
        <w:t>25 april 2024</w:t>
      </w:r>
    </w:p>
    <w:p w14:paraId="7C999235" w14:textId="0A3E042A" w:rsidR="003C7363" w:rsidRDefault="003C7363" w:rsidP="003C7363">
      <w:pPr>
        <w:spacing w:after="0" w:line="240" w:lineRule="auto"/>
      </w:pPr>
      <w:r>
        <w:t>Aanlevering conforming (ook N-standaarden)/ISA220 aan SCA</w:t>
      </w:r>
      <w:r w:rsidR="00B47739">
        <w:tab/>
      </w:r>
      <w:r>
        <w:t>:</w:t>
      </w:r>
      <w:r>
        <w:tab/>
        <w:t>24 april 2024</w:t>
      </w:r>
    </w:p>
    <w:p w14:paraId="2A8AEAF9" w14:textId="0832791B" w:rsidR="003C7363" w:rsidRDefault="003C7363" w:rsidP="003C7363">
      <w:pPr>
        <w:spacing w:after="0" w:line="240" w:lineRule="auto"/>
      </w:pPr>
      <w:r>
        <w:t>Conforming amendments/ISA220 door SCA</w:t>
      </w:r>
      <w:r>
        <w:tab/>
      </w:r>
      <w:r>
        <w:tab/>
      </w:r>
      <w:r w:rsidR="00B47739">
        <w:tab/>
      </w:r>
      <w:r>
        <w:t>:</w:t>
      </w:r>
      <w:r>
        <w:tab/>
        <w:t>8 mei 2024</w:t>
      </w:r>
    </w:p>
    <w:p w14:paraId="2E6525B4" w14:textId="135CBCFB" w:rsidR="003C7363" w:rsidRDefault="003C7363" w:rsidP="003C7363">
      <w:pPr>
        <w:spacing w:after="0" w:line="240" w:lineRule="auto"/>
      </w:pPr>
      <w:r>
        <w:t>Conforming amendments/ISA 220 door CB</w:t>
      </w:r>
      <w:r w:rsidR="007617CB">
        <w:tab/>
      </w:r>
      <w:r w:rsidR="007617CB">
        <w:tab/>
      </w:r>
      <w:r w:rsidR="00B47739">
        <w:tab/>
      </w:r>
      <w:r>
        <w:t>:</w:t>
      </w:r>
      <w:r>
        <w:tab/>
        <w:t>23 mei 2024</w:t>
      </w:r>
    </w:p>
    <w:p w14:paraId="79643CA9" w14:textId="67CA9730" w:rsidR="003C7363" w:rsidRDefault="003C7363" w:rsidP="003C7363">
      <w:pPr>
        <w:spacing w:after="0" w:line="240" w:lineRule="auto"/>
      </w:pPr>
      <w:r>
        <w:t>Goedkeuring consultatiedocumenten door IFAC</w:t>
      </w:r>
      <w:r>
        <w:tab/>
      </w:r>
      <w:r w:rsidR="00B47739">
        <w:tab/>
      </w:r>
      <w:r>
        <w:t>:</w:t>
      </w:r>
      <w:r>
        <w:tab/>
        <w:t>31 mei 2024</w:t>
      </w:r>
    </w:p>
    <w:p w14:paraId="15780A2C" w14:textId="6216FA81" w:rsidR="003C7363" w:rsidRDefault="003C7363" w:rsidP="003C7363">
      <w:pPr>
        <w:spacing w:after="0" w:line="240" w:lineRule="auto"/>
      </w:pPr>
      <w:r>
        <w:t>Goedkeuring consultatie van het geheel door bestuur</w:t>
      </w:r>
      <w:r>
        <w:tab/>
      </w:r>
      <w:r w:rsidR="00B47739">
        <w:tab/>
      </w:r>
      <w:r>
        <w:t>:</w:t>
      </w:r>
      <w:r>
        <w:tab/>
        <w:t>juni 2024</w:t>
      </w:r>
    </w:p>
    <w:p w14:paraId="392AE751" w14:textId="2695208C" w:rsidR="003C7363" w:rsidRDefault="003C7363" w:rsidP="003C7363">
      <w:pPr>
        <w:spacing w:after="0" w:line="240" w:lineRule="auto"/>
      </w:pPr>
      <w:r>
        <w:t>Consultatie wijzigingen</w:t>
      </w:r>
      <w:r>
        <w:tab/>
      </w:r>
      <w:r>
        <w:tab/>
      </w:r>
      <w:r>
        <w:tab/>
      </w:r>
      <w:r>
        <w:tab/>
      </w:r>
      <w:r>
        <w:tab/>
      </w:r>
      <w:r w:rsidR="00B47739">
        <w:tab/>
      </w:r>
      <w:r>
        <w:t>:</w:t>
      </w:r>
      <w:r>
        <w:tab/>
        <w:t>15 juni/ 15 augustus 2024</w:t>
      </w:r>
    </w:p>
    <w:p w14:paraId="3DF8E425" w14:textId="2BCD138B" w:rsidR="003C7363" w:rsidRDefault="003C7363" w:rsidP="003C7363">
      <w:pPr>
        <w:spacing w:after="0" w:line="240" w:lineRule="auto"/>
      </w:pPr>
      <w:r>
        <w:t>Concepten na consultatie door SCA</w:t>
      </w:r>
      <w:r>
        <w:tab/>
      </w:r>
      <w:r>
        <w:tab/>
      </w:r>
      <w:r>
        <w:tab/>
      </w:r>
      <w:r w:rsidR="00B47739">
        <w:tab/>
      </w:r>
      <w:r>
        <w:t>:</w:t>
      </w:r>
      <w:r>
        <w:tab/>
        <w:t>4 sept en/of 2 okt 2024</w:t>
      </w:r>
    </w:p>
    <w:p w14:paraId="1055317E" w14:textId="27DF8767" w:rsidR="003C7363" w:rsidRDefault="003C7363" w:rsidP="003C7363">
      <w:pPr>
        <w:spacing w:after="0" w:line="240" w:lineRule="auto"/>
      </w:pPr>
      <w:r>
        <w:t>Concepten na consultatie door CB</w:t>
      </w:r>
      <w:r>
        <w:tab/>
      </w:r>
      <w:r>
        <w:tab/>
      </w:r>
      <w:r>
        <w:tab/>
      </w:r>
      <w:r w:rsidR="00B47739">
        <w:tab/>
      </w:r>
      <w:r>
        <w:t>:</w:t>
      </w:r>
      <w:r>
        <w:tab/>
        <w:t>19 sept en/of 17 okt 2024</w:t>
      </w:r>
    </w:p>
    <w:p w14:paraId="2F585E48" w14:textId="455A3F94" w:rsidR="003C7363" w:rsidRDefault="003C7363" w:rsidP="003C7363">
      <w:pPr>
        <w:spacing w:after="0" w:line="240" w:lineRule="auto"/>
      </w:pPr>
      <w:r>
        <w:t>Goedkeuring wijziging VAO door bestuur</w:t>
      </w:r>
      <w:r>
        <w:tab/>
      </w:r>
      <w:r>
        <w:tab/>
      </w:r>
      <w:r w:rsidR="009C3804">
        <w:tab/>
      </w:r>
      <w:r>
        <w:t>:</w:t>
      </w:r>
      <w:r>
        <w:tab/>
        <w:t xml:space="preserve"> begin oktober</w:t>
      </w:r>
    </w:p>
    <w:p w14:paraId="6C25A9C6" w14:textId="3245DD58" w:rsidR="003C7363" w:rsidRDefault="003C7363" w:rsidP="003C7363">
      <w:pPr>
        <w:spacing w:after="0" w:line="240" w:lineRule="auto"/>
      </w:pPr>
      <w:r>
        <w:t>Publicatie wijzigingen VAO (2 mnd) voor ALV</w:t>
      </w:r>
      <w:r>
        <w:tab/>
      </w:r>
      <w:r>
        <w:tab/>
      </w:r>
      <w:r w:rsidR="009C3804">
        <w:tab/>
      </w:r>
      <w:r>
        <w:t>:</w:t>
      </w:r>
      <w:r>
        <w:tab/>
        <w:t>8 oktober 2024</w:t>
      </w:r>
    </w:p>
    <w:p w14:paraId="7BEF04EA" w14:textId="3D4944DF" w:rsidR="003C7363" w:rsidRDefault="003C7363" w:rsidP="003C7363">
      <w:pPr>
        <w:spacing w:after="0" w:line="240" w:lineRule="auto"/>
      </w:pPr>
      <w:r>
        <w:t>Goedkeuring standaarden en NV door bestuur</w:t>
      </w:r>
      <w:r>
        <w:tab/>
      </w:r>
      <w:r>
        <w:tab/>
      </w:r>
      <w:r w:rsidR="009C3804">
        <w:tab/>
      </w:r>
      <w:r>
        <w:t>:</w:t>
      </w:r>
      <w:r>
        <w:tab/>
        <w:t>begin november 2024</w:t>
      </w:r>
    </w:p>
    <w:p w14:paraId="1B9C8C1B" w14:textId="3EE3F8ED" w:rsidR="003C7363" w:rsidRDefault="003C7363" w:rsidP="003C7363">
      <w:pPr>
        <w:spacing w:after="0" w:line="240" w:lineRule="auto"/>
      </w:pPr>
      <w:r>
        <w:t>Goedkeuring definitieve publicaties IFAC</w:t>
      </w:r>
      <w:r>
        <w:tab/>
      </w:r>
      <w:r>
        <w:tab/>
      </w:r>
      <w:r w:rsidR="009C3804">
        <w:tab/>
      </w:r>
      <w:r>
        <w:t>:</w:t>
      </w:r>
      <w:r>
        <w:tab/>
        <w:t>30 november 2024</w:t>
      </w:r>
    </w:p>
    <w:p w14:paraId="5FB7AE77" w14:textId="4AD174BD" w:rsidR="003C7363" w:rsidRDefault="003C7363" w:rsidP="003C7363">
      <w:pPr>
        <w:spacing w:after="0" w:line="240" w:lineRule="auto"/>
      </w:pPr>
      <w:r>
        <w:t>Publicatie overige wijzigingen (incl Basis for Conclusion)</w:t>
      </w:r>
      <w:r w:rsidR="009C3804">
        <w:tab/>
      </w:r>
      <w:r>
        <w:t xml:space="preserve">: </w:t>
      </w:r>
      <w:r>
        <w:tab/>
        <w:t>november 2024</w:t>
      </w:r>
    </w:p>
    <w:p w14:paraId="24ACF016" w14:textId="60784BED" w:rsidR="003C7363" w:rsidRDefault="003C7363" w:rsidP="003C7363">
      <w:pPr>
        <w:spacing w:after="0" w:line="240" w:lineRule="auto"/>
      </w:pPr>
      <w:r>
        <w:t>Besluitvorming VAO ALV</w:t>
      </w:r>
      <w:r>
        <w:tab/>
      </w:r>
      <w:r>
        <w:tab/>
      </w:r>
      <w:r>
        <w:tab/>
      </w:r>
      <w:r>
        <w:tab/>
      </w:r>
      <w:r w:rsidR="009C3804">
        <w:tab/>
      </w:r>
      <w:r>
        <w:t>:</w:t>
      </w:r>
      <w:r>
        <w:tab/>
        <w:t>december 2024</w:t>
      </w:r>
    </w:p>
    <w:p w14:paraId="19834234" w14:textId="6C9E4FE2" w:rsidR="003C7363" w:rsidRDefault="003C7363" w:rsidP="003C7363">
      <w:pPr>
        <w:spacing w:after="0" w:line="240" w:lineRule="auto"/>
      </w:pPr>
      <w:r>
        <w:t>Inwerkingtreding per boekjaar startend op/na (early adoption toegestaan)</w:t>
      </w:r>
    </w:p>
    <w:p w14:paraId="5B8F7FEF" w14:textId="0205B811" w:rsidR="003C7363" w:rsidRDefault="003C7363" w:rsidP="003C7363">
      <w:pPr>
        <w:spacing w:after="0" w:line="240" w:lineRule="auto"/>
      </w:pPr>
      <w:r>
        <w:t>-</w:t>
      </w:r>
      <w:r>
        <w:tab/>
        <w:t>OOB accountantsorganisaties</w:t>
      </w:r>
      <w:r>
        <w:tab/>
      </w:r>
      <w:r>
        <w:tab/>
      </w:r>
      <w:r>
        <w:tab/>
      </w:r>
      <w:r w:rsidR="009C3804">
        <w:tab/>
      </w:r>
      <w:r>
        <w:t>:</w:t>
      </w:r>
      <w:r>
        <w:tab/>
        <w:t>1 januari 2025</w:t>
      </w:r>
    </w:p>
    <w:p w14:paraId="2B2BD2C3" w14:textId="3073060B" w:rsidR="003C7363" w:rsidRDefault="003C7363" w:rsidP="003C7363">
      <w:pPr>
        <w:spacing w:after="0" w:line="240" w:lineRule="auto"/>
      </w:pPr>
      <w:r>
        <w:t>-</w:t>
      </w:r>
      <w:r>
        <w:tab/>
        <w:t>Alle accountantsorganisaties</w:t>
      </w:r>
      <w:r>
        <w:tab/>
      </w:r>
      <w:r>
        <w:tab/>
      </w:r>
      <w:r>
        <w:tab/>
      </w:r>
      <w:r w:rsidR="009C3804">
        <w:tab/>
      </w:r>
      <w:r>
        <w:t>:</w:t>
      </w:r>
      <w:r>
        <w:tab/>
        <w:t>1 januari 2026</w:t>
      </w:r>
    </w:p>
    <w:p w14:paraId="6251B1A8" w14:textId="01F10283" w:rsidR="002861EB" w:rsidRPr="004C429E" w:rsidRDefault="003C7363" w:rsidP="004C429E">
      <w:pPr>
        <w:spacing w:after="0" w:line="240" w:lineRule="auto"/>
        <w:rPr>
          <w:b/>
          <w:bCs/>
          <w:i/>
          <w:iCs/>
          <w:color w:val="4F81BD"/>
        </w:rPr>
      </w:pPr>
      <w:r>
        <w:t>-</w:t>
      </w:r>
      <w:r>
        <w:tab/>
        <w:t>Alle accountantspraktijken</w:t>
      </w:r>
      <w:r>
        <w:tab/>
      </w:r>
      <w:r>
        <w:tab/>
      </w:r>
      <w:r>
        <w:tab/>
      </w:r>
      <w:r w:rsidR="009C3804">
        <w:tab/>
      </w:r>
      <w:r>
        <w:t>:</w:t>
      </w:r>
      <w:r w:rsidR="009C3804">
        <w:tab/>
      </w:r>
      <w:r>
        <w:t>1 januari 2027</w:t>
      </w:r>
      <w:r w:rsidR="009E733F">
        <w:rPr>
          <w:bCs/>
          <w:iCs/>
          <w:color w:val="000000"/>
        </w:rPr>
        <w:tab/>
      </w:r>
      <w:r w:rsidR="009E733F">
        <w:rPr>
          <w:bCs/>
          <w:iCs/>
          <w:color w:val="000000"/>
        </w:rPr>
        <w:tab/>
      </w:r>
      <w:r w:rsidR="00F443FD">
        <w:rPr>
          <w:bCs/>
          <w:iCs/>
          <w:color w:val="000000"/>
        </w:rPr>
        <w:tab/>
      </w:r>
      <w:r w:rsidR="00EB7E5D">
        <w:rPr>
          <w:bCs/>
          <w:iCs/>
          <w:color w:val="000000"/>
        </w:rPr>
        <w:tab/>
        <w:t xml:space="preserve">   </w:t>
      </w:r>
    </w:p>
    <w:p w14:paraId="6E767261" w14:textId="77777777" w:rsidR="00EB7E5D" w:rsidRPr="001305E3" w:rsidRDefault="00EB7E5D" w:rsidP="00EB7E5D">
      <w:pPr>
        <w:pStyle w:val="Geenafstand"/>
        <w:rPr>
          <w:rStyle w:val="Intensievebenadrukking"/>
        </w:rPr>
      </w:pPr>
      <w:r w:rsidRPr="001305E3">
        <w:rPr>
          <w:rStyle w:val="Intensievebenadrukking"/>
        </w:rPr>
        <w:t>Overige opmerkingen</w:t>
      </w:r>
    </w:p>
    <w:p w14:paraId="4BA4E388" w14:textId="77777777" w:rsidR="001B6B8C" w:rsidRDefault="001B6B8C" w:rsidP="001B6B8C">
      <w:pPr>
        <w:pStyle w:val="Geenafstand"/>
        <w:numPr>
          <w:ilvl w:val="0"/>
          <w:numId w:val="13"/>
        </w:numPr>
      </w:pPr>
      <w:r>
        <w:t>Willen we nog aanpassingen aan Wta/Bta voorstellen om de artikel 8/8a/9/9a bepalingen beter te laten aansluiten op ISQM-denken?</w:t>
      </w:r>
    </w:p>
    <w:p w14:paraId="0FB9B2C6" w14:textId="77777777" w:rsidR="001B6B8C" w:rsidRDefault="001B6B8C" w:rsidP="001B6B8C">
      <w:pPr>
        <w:pStyle w:val="Geenafstand"/>
        <w:numPr>
          <w:ilvl w:val="0"/>
          <w:numId w:val="13"/>
        </w:numPr>
      </w:pPr>
      <w:r>
        <w:t>Willen we via Fin proberen de grondslag voor kwaliteitsmanagement in de Wab te verbreden?</w:t>
      </w:r>
    </w:p>
    <w:p w14:paraId="620C0BA7" w14:textId="77777777" w:rsidR="001B6B8C" w:rsidRDefault="001B6B8C" w:rsidP="001B6B8C">
      <w:pPr>
        <w:pStyle w:val="Geenafstand"/>
        <w:numPr>
          <w:ilvl w:val="0"/>
          <w:numId w:val="13"/>
        </w:numPr>
      </w:pPr>
      <w:r>
        <w:lastRenderedPageBreak/>
        <w:t>Overleg met Fin (hun formele positie zoals naar de Kamer gecommuniceerd is nog steeds dat zij de regels voor organisaties willen stellen, niet NBA) is nog niet opgenomen in planning</w:t>
      </w:r>
    </w:p>
    <w:p w14:paraId="0327E894" w14:textId="77777777" w:rsidR="001B6B8C" w:rsidRDefault="001B6B8C" w:rsidP="001B6B8C">
      <w:pPr>
        <w:pStyle w:val="Geenafstand"/>
        <w:numPr>
          <w:ilvl w:val="0"/>
          <w:numId w:val="13"/>
        </w:numPr>
      </w:pPr>
      <w:r>
        <w:t>Verondersteld is dat VGBA hierop niet behoeft te worden aangepast, en dat de wettelijke grondslag in Wab voldoende is om regels te stellen (voor accountantseenheden anders dan accountantsorganisaties zal daar een oplossing voor gevonden moeten worden)</w:t>
      </w:r>
    </w:p>
    <w:p w14:paraId="2D122040" w14:textId="001E1F39" w:rsidR="001B6B8C" w:rsidRDefault="001B6B8C" w:rsidP="001B6B8C">
      <w:pPr>
        <w:pStyle w:val="Geenafstand"/>
        <w:numPr>
          <w:ilvl w:val="0"/>
          <w:numId w:val="13"/>
        </w:numPr>
      </w:pPr>
      <w:r>
        <w:t xml:space="preserve">Handreiking OKB – </w:t>
      </w:r>
      <w:r w:rsidR="00CB6E6F">
        <w:t xml:space="preserve">Zal </w:t>
      </w:r>
      <w:r w:rsidR="00670CA6">
        <w:t>waarschijnlijk worden ingetrokken.</w:t>
      </w:r>
    </w:p>
    <w:p w14:paraId="38315CC0" w14:textId="77777777" w:rsidR="001B6B8C" w:rsidRDefault="001B6B8C" w:rsidP="001B6B8C">
      <w:pPr>
        <w:pStyle w:val="Geenafstand"/>
      </w:pPr>
    </w:p>
    <w:p w14:paraId="58C00D16" w14:textId="77777777" w:rsidR="001B6B8C" w:rsidRDefault="001B6B8C" w:rsidP="001B6B8C">
      <w:pPr>
        <w:pStyle w:val="Geenafstand"/>
        <w:rPr>
          <w:rStyle w:val="Intensievebenadrukking"/>
        </w:rPr>
      </w:pPr>
      <w:r>
        <w:rPr>
          <w:rStyle w:val="Intensievebenadrukking"/>
        </w:rPr>
        <w:t>Te implementeren standaarden</w:t>
      </w:r>
    </w:p>
    <w:p w14:paraId="5AC2EEF1" w14:textId="77777777" w:rsidR="001B6B8C" w:rsidRDefault="009C3804" w:rsidP="001B6B8C">
      <w:pPr>
        <w:pStyle w:val="Geenafstand"/>
        <w:numPr>
          <w:ilvl w:val="0"/>
          <w:numId w:val="12"/>
        </w:numPr>
      </w:pPr>
      <w:hyperlink r:id="rId10" w:history="1">
        <w:r w:rsidR="001B6B8C">
          <w:rPr>
            <w:rStyle w:val="Hyperlink"/>
          </w:rPr>
          <w:t>ISQM1</w:t>
        </w:r>
      </w:hyperlink>
      <w:r w:rsidR="001B6B8C">
        <w:t xml:space="preserve"> </w:t>
      </w:r>
    </w:p>
    <w:p w14:paraId="03556740" w14:textId="77777777" w:rsidR="001B6B8C" w:rsidRDefault="009C3804" w:rsidP="001B6B8C">
      <w:pPr>
        <w:pStyle w:val="Geenafstand"/>
        <w:numPr>
          <w:ilvl w:val="0"/>
          <w:numId w:val="12"/>
        </w:numPr>
      </w:pPr>
      <w:hyperlink r:id="rId11" w:history="1">
        <w:r w:rsidR="001B6B8C">
          <w:rPr>
            <w:rStyle w:val="Hyperlink"/>
          </w:rPr>
          <w:t>ISQM2</w:t>
        </w:r>
      </w:hyperlink>
    </w:p>
    <w:p w14:paraId="7E66B19A" w14:textId="77777777" w:rsidR="001B6B8C" w:rsidRDefault="009C3804" w:rsidP="001B6B8C">
      <w:pPr>
        <w:pStyle w:val="Geenafstand"/>
        <w:numPr>
          <w:ilvl w:val="0"/>
          <w:numId w:val="12"/>
        </w:numPr>
      </w:pPr>
      <w:hyperlink r:id="rId12">
        <w:r w:rsidR="001B6B8C" w:rsidRPr="37A68E2E">
          <w:rPr>
            <w:rStyle w:val="Hyperlink"/>
          </w:rPr>
          <w:t>ISA 220</w:t>
        </w:r>
      </w:hyperlink>
      <w:r w:rsidR="001B6B8C">
        <w:t xml:space="preserve"> – met name alle ISQM-verwijzingen nalopen</w:t>
      </w:r>
    </w:p>
    <w:p w14:paraId="44B8595C" w14:textId="77777777" w:rsidR="001B6B8C" w:rsidRDefault="009C3804" w:rsidP="001B6B8C">
      <w:pPr>
        <w:pStyle w:val="Geenafstand"/>
        <w:numPr>
          <w:ilvl w:val="0"/>
          <w:numId w:val="12"/>
        </w:numPr>
      </w:pPr>
      <w:hyperlink r:id="rId13">
        <w:r w:rsidR="001B6B8C" w:rsidRPr="37A68E2E">
          <w:rPr>
            <w:rStyle w:val="Hyperlink"/>
          </w:rPr>
          <w:t>Conforming amendments to the ISAs</w:t>
        </w:r>
      </w:hyperlink>
      <w:r w:rsidR="001B6B8C">
        <w:t xml:space="preserve"> – met name alle ISQM-verwijzingen nalopen</w:t>
      </w:r>
    </w:p>
    <w:p w14:paraId="6F48E4ED" w14:textId="62CA4AA3" w:rsidR="001B6B8C" w:rsidRPr="00B256D8" w:rsidRDefault="009C3804" w:rsidP="001B6B8C">
      <w:pPr>
        <w:pStyle w:val="Geenafstand"/>
        <w:numPr>
          <w:ilvl w:val="0"/>
          <w:numId w:val="12"/>
        </w:numPr>
        <w:rPr>
          <w:lang w:val="en-US"/>
        </w:rPr>
      </w:pPr>
      <w:hyperlink r:id="rId14">
        <w:r w:rsidR="001B6B8C" w:rsidRPr="37A68E2E">
          <w:rPr>
            <w:rStyle w:val="Hyperlink"/>
            <w:lang w:val="en-US"/>
          </w:rPr>
          <w:t>Conforming and consequential amendments to the other standards</w:t>
        </w:r>
      </w:hyperlink>
      <w:r w:rsidR="001B6B8C" w:rsidRPr="37A68E2E">
        <w:rPr>
          <w:lang w:val="en-US"/>
        </w:rPr>
        <w:t xml:space="preserve"> – met name alle ISQM-verwijzingen nalopen</w:t>
      </w:r>
    </w:p>
    <w:p w14:paraId="5A835560" w14:textId="77777777" w:rsidR="001B6B8C" w:rsidRPr="00CE4CEC" w:rsidRDefault="001B6B8C" w:rsidP="001B6B8C">
      <w:pPr>
        <w:pStyle w:val="Geenafstand"/>
        <w:numPr>
          <w:ilvl w:val="0"/>
          <w:numId w:val="12"/>
        </w:numPr>
      </w:pPr>
      <w:r w:rsidRPr="00D64304">
        <w:t>Aanpassing van all</w:t>
      </w:r>
      <w:r>
        <w:t xml:space="preserve">e NVKS/VAO-verwijzingen in </w:t>
      </w:r>
      <w:r w:rsidRPr="00D64304">
        <w:t>3810N, 3850N, 3900N, 3950N, 4415N, 4416N, 5500N</w:t>
      </w:r>
    </w:p>
    <w:p w14:paraId="28A6E1E9" w14:textId="77777777" w:rsidR="00F466E3" w:rsidRPr="003F5FBE" w:rsidRDefault="00F466E3" w:rsidP="00F466E3">
      <w:pPr>
        <w:rPr>
          <w:rFonts w:ascii="Arial" w:hAnsi="Arial" w:cs="Arial"/>
          <w:sz w:val="18"/>
        </w:rPr>
      </w:pPr>
    </w:p>
    <w:sectPr w:rsidR="00F466E3" w:rsidRPr="003F5F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CD7F3" w14:textId="77777777" w:rsidR="005B0453" w:rsidRDefault="005B0453" w:rsidP="00B034BC">
      <w:pPr>
        <w:spacing w:after="0" w:line="240" w:lineRule="auto"/>
      </w:pPr>
      <w:r>
        <w:separator/>
      </w:r>
    </w:p>
  </w:endnote>
  <w:endnote w:type="continuationSeparator" w:id="0">
    <w:p w14:paraId="43158C12" w14:textId="77777777" w:rsidR="005B0453" w:rsidRDefault="005B0453" w:rsidP="00B034BC">
      <w:pPr>
        <w:spacing w:after="0" w:line="240" w:lineRule="auto"/>
      </w:pPr>
      <w:r>
        <w:continuationSeparator/>
      </w:r>
    </w:p>
  </w:endnote>
  <w:endnote w:type="continuationNotice" w:id="1">
    <w:p w14:paraId="456BB2F2" w14:textId="77777777" w:rsidR="005B0453" w:rsidRDefault="005B04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2E69A" w14:textId="77777777" w:rsidR="005B0453" w:rsidRDefault="005B0453" w:rsidP="00B034BC">
      <w:pPr>
        <w:spacing w:after="0" w:line="240" w:lineRule="auto"/>
      </w:pPr>
      <w:r>
        <w:separator/>
      </w:r>
    </w:p>
  </w:footnote>
  <w:footnote w:type="continuationSeparator" w:id="0">
    <w:p w14:paraId="72FD19E3" w14:textId="77777777" w:rsidR="005B0453" w:rsidRDefault="005B0453" w:rsidP="00B034BC">
      <w:pPr>
        <w:spacing w:after="0" w:line="240" w:lineRule="auto"/>
      </w:pPr>
      <w:r>
        <w:continuationSeparator/>
      </w:r>
    </w:p>
  </w:footnote>
  <w:footnote w:type="continuationNotice" w:id="1">
    <w:p w14:paraId="3D23B35B" w14:textId="77777777" w:rsidR="005B0453" w:rsidRDefault="005B0453">
      <w:pPr>
        <w:spacing w:after="0" w:line="240" w:lineRule="auto"/>
      </w:pPr>
    </w:p>
  </w:footnote>
  <w:footnote w:id="2">
    <w:p w14:paraId="7C196854" w14:textId="77777777" w:rsidR="00B034BC" w:rsidRDefault="00B034BC" w:rsidP="00B034BC">
      <w:pPr>
        <w:pStyle w:val="Voetnoottekst"/>
      </w:pPr>
      <w:r w:rsidRPr="37A68E2E">
        <w:rPr>
          <w:rStyle w:val="Voetnootmarkering"/>
        </w:rPr>
        <w:footnoteRef/>
      </w:r>
      <w:r w:rsidRPr="00FD0041">
        <w:rPr>
          <w:lang w:val="en-US"/>
        </w:rPr>
        <w:t xml:space="preserve"> International Standard on Quality Management (ISQM) 1 </w:t>
      </w:r>
      <w:r w:rsidRPr="00FD0041">
        <w:rPr>
          <w:i/>
          <w:iCs/>
          <w:lang w:val="en-US"/>
        </w:rPr>
        <w:t xml:space="preserve">Quality Management for Firms that Perform Audits or Reviews of Financial Statement, or Other Assurance or Related Services Engagements, </w:t>
      </w:r>
      <w:r w:rsidRPr="00FD0041">
        <w:rPr>
          <w:lang w:val="en-US"/>
        </w:rPr>
        <w:t xml:space="preserve">ISQM 2 </w:t>
      </w:r>
      <w:r w:rsidRPr="00FD0041">
        <w:rPr>
          <w:i/>
          <w:iCs/>
          <w:lang w:val="en-US"/>
        </w:rPr>
        <w:t>Engagement Quality Reviews</w:t>
      </w:r>
      <w:r w:rsidRPr="00FD0041">
        <w:rPr>
          <w:lang w:val="en-US"/>
        </w:rPr>
        <w:t xml:space="preserve"> en ISA 220 </w:t>
      </w:r>
      <w:r w:rsidRPr="00FD0041">
        <w:rPr>
          <w:i/>
          <w:iCs/>
          <w:lang w:val="en-US"/>
        </w:rPr>
        <w:t>Quality Management for an Audit of Financial Statements</w:t>
      </w:r>
      <w:r w:rsidRPr="00FD0041">
        <w:rPr>
          <w:lang w:val="en-US"/>
        </w:rPr>
        <w:t xml:space="preserve">. </w:t>
      </w:r>
      <w:r w:rsidRPr="37A68E2E">
        <w:t>In samenhang hiermee zijn ook Conforming and Consequential Amendments uitgevaardigd.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4C5"/>
    <w:multiLevelType w:val="hybridMultilevel"/>
    <w:tmpl w:val="E24AB52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163A6949"/>
    <w:multiLevelType w:val="hybridMultilevel"/>
    <w:tmpl w:val="7E1EAE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BD62AB"/>
    <w:multiLevelType w:val="hybridMultilevel"/>
    <w:tmpl w:val="1AAC7E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C22FAE"/>
    <w:multiLevelType w:val="hybridMultilevel"/>
    <w:tmpl w:val="A6741E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C408C1"/>
    <w:multiLevelType w:val="hybridMultilevel"/>
    <w:tmpl w:val="E51CE514"/>
    <w:lvl w:ilvl="0" w:tplc="8C40D902">
      <w:start w:val="3"/>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E04C3F"/>
    <w:multiLevelType w:val="hybridMultilevel"/>
    <w:tmpl w:val="C3E013AA"/>
    <w:lvl w:ilvl="0" w:tplc="4C888A44">
      <w:start w:val="1"/>
      <w:numFmt w:val="decimal"/>
      <w:lvlText w:val="%1."/>
      <w:lvlJc w:val="left"/>
      <w:pPr>
        <w:ind w:left="1068" w:hanging="708"/>
      </w:pPr>
      <w:rPr>
        <w:rFonts w:hint="default"/>
      </w:rPr>
    </w:lvl>
    <w:lvl w:ilvl="1" w:tplc="B0EA6E7E">
      <w:start w:val="1"/>
      <w:numFmt w:val="lowerLetter"/>
      <w:lvlText w:val="%2."/>
      <w:lvlJc w:val="left"/>
      <w:pPr>
        <w:ind w:left="1788" w:hanging="708"/>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0B80EDA"/>
    <w:multiLevelType w:val="hybridMultilevel"/>
    <w:tmpl w:val="4E02F3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AC46203"/>
    <w:multiLevelType w:val="hybridMultilevel"/>
    <w:tmpl w:val="0D5CEA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F7D1443"/>
    <w:multiLevelType w:val="hybridMultilevel"/>
    <w:tmpl w:val="9036D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18749C4"/>
    <w:multiLevelType w:val="hybridMultilevel"/>
    <w:tmpl w:val="360AB06A"/>
    <w:lvl w:ilvl="0" w:tplc="51CA4412">
      <w:start w:val="1"/>
      <w:numFmt w:val="bullet"/>
      <w:lvlText w:val=""/>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A505771"/>
    <w:multiLevelType w:val="hybridMultilevel"/>
    <w:tmpl w:val="0A64E37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CA9662A"/>
    <w:multiLevelType w:val="hybridMultilevel"/>
    <w:tmpl w:val="52EA3D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80843220">
    <w:abstractNumId w:val="8"/>
  </w:num>
  <w:num w:numId="2" w16cid:durableId="1183546922">
    <w:abstractNumId w:val="7"/>
  </w:num>
  <w:num w:numId="3" w16cid:durableId="114493783">
    <w:abstractNumId w:val="11"/>
  </w:num>
  <w:num w:numId="4" w16cid:durableId="1420131760">
    <w:abstractNumId w:val="5"/>
  </w:num>
  <w:num w:numId="5" w16cid:durableId="905066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4630625">
    <w:abstractNumId w:val="0"/>
  </w:num>
  <w:num w:numId="7" w16cid:durableId="151652099">
    <w:abstractNumId w:val="3"/>
  </w:num>
  <w:num w:numId="8" w16cid:durableId="589117892">
    <w:abstractNumId w:val="6"/>
  </w:num>
  <w:num w:numId="9" w16cid:durableId="1143347064">
    <w:abstractNumId w:val="10"/>
  </w:num>
  <w:num w:numId="10" w16cid:durableId="1940868728">
    <w:abstractNumId w:val="1"/>
  </w:num>
  <w:num w:numId="11" w16cid:durableId="962151195">
    <w:abstractNumId w:val="2"/>
  </w:num>
  <w:num w:numId="12" w16cid:durableId="1415401009">
    <w:abstractNumId w:val="9"/>
  </w:num>
  <w:num w:numId="13" w16cid:durableId="6960795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E5D"/>
    <w:rsid w:val="00004F27"/>
    <w:rsid w:val="00027CB9"/>
    <w:rsid w:val="00031375"/>
    <w:rsid w:val="00031862"/>
    <w:rsid w:val="00042875"/>
    <w:rsid w:val="00042D33"/>
    <w:rsid w:val="00055B43"/>
    <w:rsid w:val="000562ED"/>
    <w:rsid w:val="000631CF"/>
    <w:rsid w:val="0006593B"/>
    <w:rsid w:val="00072CCE"/>
    <w:rsid w:val="000B61C4"/>
    <w:rsid w:val="000D2E0D"/>
    <w:rsid w:val="000E7E6C"/>
    <w:rsid w:val="000F0838"/>
    <w:rsid w:val="00110539"/>
    <w:rsid w:val="001156CE"/>
    <w:rsid w:val="0014413D"/>
    <w:rsid w:val="001472CF"/>
    <w:rsid w:val="00151AC8"/>
    <w:rsid w:val="001623DA"/>
    <w:rsid w:val="00170E12"/>
    <w:rsid w:val="001813B3"/>
    <w:rsid w:val="00190D63"/>
    <w:rsid w:val="00192642"/>
    <w:rsid w:val="001A5934"/>
    <w:rsid w:val="001B0135"/>
    <w:rsid w:val="001B132B"/>
    <w:rsid w:val="001B6B8C"/>
    <w:rsid w:val="001D5E7F"/>
    <w:rsid w:val="001F5E6E"/>
    <w:rsid w:val="002120AA"/>
    <w:rsid w:val="00230C43"/>
    <w:rsid w:val="0025503A"/>
    <w:rsid w:val="00256946"/>
    <w:rsid w:val="00260AE3"/>
    <w:rsid w:val="0026442A"/>
    <w:rsid w:val="00272FE8"/>
    <w:rsid w:val="002758E4"/>
    <w:rsid w:val="00280803"/>
    <w:rsid w:val="002861EB"/>
    <w:rsid w:val="002A5788"/>
    <w:rsid w:val="002A6018"/>
    <w:rsid w:val="002A6210"/>
    <w:rsid w:val="00304BFB"/>
    <w:rsid w:val="00310322"/>
    <w:rsid w:val="00310C55"/>
    <w:rsid w:val="00311605"/>
    <w:rsid w:val="003261A8"/>
    <w:rsid w:val="00342091"/>
    <w:rsid w:val="0035103A"/>
    <w:rsid w:val="00351BF0"/>
    <w:rsid w:val="003533D6"/>
    <w:rsid w:val="00362130"/>
    <w:rsid w:val="00364AB1"/>
    <w:rsid w:val="00384E80"/>
    <w:rsid w:val="003861DD"/>
    <w:rsid w:val="003919B0"/>
    <w:rsid w:val="00392FC1"/>
    <w:rsid w:val="003B1479"/>
    <w:rsid w:val="003C7363"/>
    <w:rsid w:val="003C767B"/>
    <w:rsid w:val="003E318C"/>
    <w:rsid w:val="00404404"/>
    <w:rsid w:val="004705D7"/>
    <w:rsid w:val="00474C1D"/>
    <w:rsid w:val="004C429E"/>
    <w:rsid w:val="004E6475"/>
    <w:rsid w:val="00516963"/>
    <w:rsid w:val="00536A6E"/>
    <w:rsid w:val="005409E4"/>
    <w:rsid w:val="005475EE"/>
    <w:rsid w:val="00555E0F"/>
    <w:rsid w:val="0056099B"/>
    <w:rsid w:val="005710ED"/>
    <w:rsid w:val="005772C0"/>
    <w:rsid w:val="00581C66"/>
    <w:rsid w:val="005850D0"/>
    <w:rsid w:val="0058526D"/>
    <w:rsid w:val="005B0453"/>
    <w:rsid w:val="005B0AA7"/>
    <w:rsid w:val="005B2FBB"/>
    <w:rsid w:val="005C3C4F"/>
    <w:rsid w:val="005D6E8B"/>
    <w:rsid w:val="005F3950"/>
    <w:rsid w:val="00603F2D"/>
    <w:rsid w:val="00604496"/>
    <w:rsid w:val="006061CB"/>
    <w:rsid w:val="00616351"/>
    <w:rsid w:val="00622E3C"/>
    <w:rsid w:val="00634A3A"/>
    <w:rsid w:val="00651EF6"/>
    <w:rsid w:val="00670CA6"/>
    <w:rsid w:val="00693827"/>
    <w:rsid w:val="00696C56"/>
    <w:rsid w:val="006D085F"/>
    <w:rsid w:val="006D14E9"/>
    <w:rsid w:val="006E2088"/>
    <w:rsid w:val="006E293F"/>
    <w:rsid w:val="0070288F"/>
    <w:rsid w:val="00703EEC"/>
    <w:rsid w:val="00707636"/>
    <w:rsid w:val="00721C07"/>
    <w:rsid w:val="007263C5"/>
    <w:rsid w:val="00742340"/>
    <w:rsid w:val="0074277A"/>
    <w:rsid w:val="007540E2"/>
    <w:rsid w:val="007617CB"/>
    <w:rsid w:val="00770A64"/>
    <w:rsid w:val="007B28E0"/>
    <w:rsid w:val="007D034F"/>
    <w:rsid w:val="007D4B3A"/>
    <w:rsid w:val="007E2E7A"/>
    <w:rsid w:val="00806ADD"/>
    <w:rsid w:val="00842C33"/>
    <w:rsid w:val="008610D1"/>
    <w:rsid w:val="00867FA9"/>
    <w:rsid w:val="008E0C47"/>
    <w:rsid w:val="0092661D"/>
    <w:rsid w:val="009306D9"/>
    <w:rsid w:val="009338D1"/>
    <w:rsid w:val="00942720"/>
    <w:rsid w:val="00951AF4"/>
    <w:rsid w:val="009551A9"/>
    <w:rsid w:val="009645F8"/>
    <w:rsid w:val="00994F17"/>
    <w:rsid w:val="009A3E01"/>
    <w:rsid w:val="009C3804"/>
    <w:rsid w:val="009D0425"/>
    <w:rsid w:val="009D7C0F"/>
    <w:rsid w:val="009E733F"/>
    <w:rsid w:val="009F02C9"/>
    <w:rsid w:val="00A14332"/>
    <w:rsid w:val="00A4510A"/>
    <w:rsid w:val="00A65B40"/>
    <w:rsid w:val="00A75130"/>
    <w:rsid w:val="00A94CB4"/>
    <w:rsid w:val="00AB1959"/>
    <w:rsid w:val="00AC2B6C"/>
    <w:rsid w:val="00AD2276"/>
    <w:rsid w:val="00AD747F"/>
    <w:rsid w:val="00AE571F"/>
    <w:rsid w:val="00AF1880"/>
    <w:rsid w:val="00B034BC"/>
    <w:rsid w:val="00B47739"/>
    <w:rsid w:val="00B65B4F"/>
    <w:rsid w:val="00B81115"/>
    <w:rsid w:val="00BC9E68"/>
    <w:rsid w:val="00C04B79"/>
    <w:rsid w:val="00C1723B"/>
    <w:rsid w:val="00C23FEE"/>
    <w:rsid w:val="00C55C7D"/>
    <w:rsid w:val="00CA0247"/>
    <w:rsid w:val="00CA3200"/>
    <w:rsid w:val="00CA37EF"/>
    <w:rsid w:val="00CA7758"/>
    <w:rsid w:val="00CB31A0"/>
    <w:rsid w:val="00CB6E6F"/>
    <w:rsid w:val="00CB7AAC"/>
    <w:rsid w:val="00CF0042"/>
    <w:rsid w:val="00CF102D"/>
    <w:rsid w:val="00CF25F1"/>
    <w:rsid w:val="00CF3DF9"/>
    <w:rsid w:val="00D007FA"/>
    <w:rsid w:val="00D00E23"/>
    <w:rsid w:val="00D148F8"/>
    <w:rsid w:val="00D222A1"/>
    <w:rsid w:val="00D31A6A"/>
    <w:rsid w:val="00D431C0"/>
    <w:rsid w:val="00D44082"/>
    <w:rsid w:val="00D61BF6"/>
    <w:rsid w:val="00D6675A"/>
    <w:rsid w:val="00D7185E"/>
    <w:rsid w:val="00D8204F"/>
    <w:rsid w:val="00D90FD9"/>
    <w:rsid w:val="00DB214E"/>
    <w:rsid w:val="00DC3107"/>
    <w:rsid w:val="00E2517E"/>
    <w:rsid w:val="00E42570"/>
    <w:rsid w:val="00E50D06"/>
    <w:rsid w:val="00E62A13"/>
    <w:rsid w:val="00E67E24"/>
    <w:rsid w:val="00E819A7"/>
    <w:rsid w:val="00EB561B"/>
    <w:rsid w:val="00EB7E5D"/>
    <w:rsid w:val="00ED2C3B"/>
    <w:rsid w:val="00EE6942"/>
    <w:rsid w:val="00EF314F"/>
    <w:rsid w:val="00F05C12"/>
    <w:rsid w:val="00F06614"/>
    <w:rsid w:val="00F074FB"/>
    <w:rsid w:val="00F15ACB"/>
    <w:rsid w:val="00F37053"/>
    <w:rsid w:val="00F443FD"/>
    <w:rsid w:val="00F44666"/>
    <w:rsid w:val="00F466E3"/>
    <w:rsid w:val="00F71871"/>
    <w:rsid w:val="00F7668E"/>
    <w:rsid w:val="00F94620"/>
    <w:rsid w:val="00FA14AF"/>
    <w:rsid w:val="00FB205B"/>
    <w:rsid w:val="00FB46A0"/>
    <w:rsid w:val="00FB4705"/>
    <w:rsid w:val="00FF4AFF"/>
    <w:rsid w:val="077D8DD2"/>
    <w:rsid w:val="0BB87FF5"/>
    <w:rsid w:val="119C8925"/>
    <w:rsid w:val="1CC5BA1B"/>
    <w:rsid w:val="1D2859A0"/>
    <w:rsid w:val="2A18B6F2"/>
    <w:rsid w:val="2C2C7AE2"/>
    <w:rsid w:val="2E6278C1"/>
    <w:rsid w:val="2F45766C"/>
    <w:rsid w:val="3239C301"/>
    <w:rsid w:val="389497CE"/>
    <w:rsid w:val="3986CD4E"/>
    <w:rsid w:val="3A6AC27A"/>
    <w:rsid w:val="3C20E550"/>
    <w:rsid w:val="3CBE6E10"/>
    <w:rsid w:val="3F2CEB81"/>
    <w:rsid w:val="3F569E3C"/>
    <w:rsid w:val="408FA918"/>
    <w:rsid w:val="43B3F911"/>
    <w:rsid w:val="4768AC10"/>
    <w:rsid w:val="4D163FCF"/>
    <w:rsid w:val="57560EB6"/>
    <w:rsid w:val="5960041C"/>
    <w:rsid w:val="5BCD3ED1"/>
    <w:rsid w:val="5C12B691"/>
    <w:rsid w:val="5E6683C8"/>
    <w:rsid w:val="61187880"/>
    <w:rsid w:val="6185AFEA"/>
    <w:rsid w:val="64A46950"/>
    <w:rsid w:val="670D7C66"/>
    <w:rsid w:val="67DDD4AC"/>
    <w:rsid w:val="71F350C8"/>
    <w:rsid w:val="7206B6AD"/>
    <w:rsid w:val="736C3951"/>
    <w:rsid w:val="74C31FD0"/>
    <w:rsid w:val="7930F134"/>
    <w:rsid w:val="7EF93E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A824"/>
  <w15:docId w15:val="{4281774D-6808-4356-8CFE-BE94627D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7E5D"/>
    <w:rPr>
      <w:rFonts w:ascii="Calibri" w:eastAsia="Calibri" w:hAnsi="Calibri" w:cs="Times New Roman"/>
    </w:rPr>
  </w:style>
  <w:style w:type="paragraph" w:styleId="Kop2">
    <w:name w:val="heading 2"/>
    <w:basedOn w:val="Standaard"/>
    <w:next w:val="Standaard"/>
    <w:link w:val="Kop2Char"/>
    <w:uiPriority w:val="9"/>
    <w:unhideWhenUsed/>
    <w:qFormat/>
    <w:rsid w:val="00EB7E5D"/>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B7E5D"/>
    <w:rPr>
      <w:rFonts w:ascii="Cambria" w:eastAsia="Times New Roman" w:hAnsi="Cambria" w:cs="Times New Roman"/>
      <w:b/>
      <w:bCs/>
      <w:color w:val="4F81BD"/>
      <w:sz w:val="26"/>
      <w:szCs w:val="26"/>
    </w:rPr>
  </w:style>
  <w:style w:type="paragraph" w:styleId="Geenafstand">
    <w:name w:val="No Spacing"/>
    <w:uiPriority w:val="1"/>
    <w:qFormat/>
    <w:rsid w:val="00EB7E5D"/>
    <w:pPr>
      <w:spacing w:after="0" w:line="240" w:lineRule="auto"/>
    </w:pPr>
    <w:rPr>
      <w:rFonts w:ascii="Calibri" w:eastAsia="Calibri" w:hAnsi="Calibri" w:cs="Times New Roman"/>
    </w:rPr>
  </w:style>
  <w:style w:type="character" w:styleId="Intensievebenadrukking">
    <w:name w:val="Intense Emphasis"/>
    <w:uiPriority w:val="21"/>
    <w:qFormat/>
    <w:rsid w:val="00EB7E5D"/>
    <w:rPr>
      <w:b/>
      <w:bCs/>
      <w:i/>
      <w:iCs/>
      <w:color w:val="4F81BD"/>
    </w:rPr>
  </w:style>
  <w:style w:type="paragraph" w:styleId="Ballontekst">
    <w:name w:val="Balloon Text"/>
    <w:basedOn w:val="Standaard"/>
    <w:link w:val="BallontekstChar"/>
    <w:uiPriority w:val="99"/>
    <w:semiHidden/>
    <w:unhideWhenUsed/>
    <w:rsid w:val="000F083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0838"/>
    <w:rPr>
      <w:rFonts w:ascii="Segoe UI" w:eastAsia="Calibri" w:hAnsi="Segoe UI" w:cs="Segoe UI"/>
      <w:sz w:val="18"/>
      <w:szCs w:val="18"/>
    </w:rPr>
  </w:style>
  <w:style w:type="character" w:styleId="Verwijzingopmerking">
    <w:name w:val="annotation reference"/>
    <w:basedOn w:val="Standaardalinea-lettertype"/>
    <w:uiPriority w:val="99"/>
    <w:semiHidden/>
    <w:unhideWhenUsed/>
    <w:rsid w:val="008610D1"/>
    <w:rPr>
      <w:sz w:val="16"/>
      <w:szCs w:val="16"/>
    </w:rPr>
  </w:style>
  <w:style w:type="paragraph" w:styleId="Tekstopmerking">
    <w:name w:val="annotation text"/>
    <w:basedOn w:val="Standaard"/>
    <w:link w:val="TekstopmerkingChar"/>
    <w:uiPriority w:val="99"/>
    <w:unhideWhenUsed/>
    <w:rsid w:val="008610D1"/>
    <w:pPr>
      <w:spacing w:line="240" w:lineRule="auto"/>
    </w:pPr>
    <w:rPr>
      <w:sz w:val="20"/>
      <w:szCs w:val="20"/>
    </w:rPr>
  </w:style>
  <w:style w:type="character" w:customStyle="1" w:styleId="TekstopmerkingChar">
    <w:name w:val="Tekst opmerking Char"/>
    <w:basedOn w:val="Standaardalinea-lettertype"/>
    <w:link w:val="Tekstopmerking"/>
    <w:uiPriority w:val="99"/>
    <w:rsid w:val="008610D1"/>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8610D1"/>
    <w:rPr>
      <w:b/>
      <w:bCs/>
    </w:rPr>
  </w:style>
  <w:style w:type="character" w:customStyle="1" w:styleId="OnderwerpvanopmerkingChar">
    <w:name w:val="Onderwerp van opmerking Char"/>
    <w:basedOn w:val="TekstopmerkingChar"/>
    <w:link w:val="Onderwerpvanopmerking"/>
    <w:uiPriority w:val="99"/>
    <w:semiHidden/>
    <w:rsid w:val="008610D1"/>
    <w:rPr>
      <w:rFonts w:ascii="Calibri" w:eastAsia="Calibri" w:hAnsi="Calibri" w:cs="Times New Roman"/>
      <w:b/>
      <w:bCs/>
      <w:sz w:val="20"/>
      <w:szCs w:val="20"/>
    </w:rPr>
  </w:style>
  <w:style w:type="paragraph" w:styleId="Revisie">
    <w:name w:val="Revision"/>
    <w:hidden/>
    <w:uiPriority w:val="99"/>
    <w:semiHidden/>
    <w:rsid w:val="00042D33"/>
    <w:pPr>
      <w:spacing w:after="0" w:line="240" w:lineRule="auto"/>
    </w:pPr>
    <w:rPr>
      <w:rFonts w:ascii="Calibri" w:eastAsia="Calibri" w:hAnsi="Calibri" w:cs="Times New Roman"/>
    </w:rPr>
  </w:style>
  <w:style w:type="character" w:styleId="Hyperlink">
    <w:name w:val="Hyperlink"/>
    <w:basedOn w:val="Standaardalinea-lettertype"/>
    <w:uiPriority w:val="99"/>
    <w:unhideWhenUsed/>
    <w:rsid w:val="005B0AA7"/>
    <w:rPr>
      <w:color w:val="0000FF" w:themeColor="hyperlink"/>
      <w:u w:val="single"/>
    </w:rPr>
  </w:style>
  <w:style w:type="character" w:styleId="Onopgelostemelding">
    <w:name w:val="Unresolved Mention"/>
    <w:basedOn w:val="Standaardalinea-lettertype"/>
    <w:uiPriority w:val="99"/>
    <w:semiHidden/>
    <w:unhideWhenUsed/>
    <w:rsid w:val="005B0AA7"/>
    <w:rPr>
      <w:color w:val="605E5C"/>
      <w:shd w:val="clear" w:color="auto" w:fill="E1DFDD"/>
    </w:rPr>
  </w:style>
  <w:style w:type="paragraph" w:styleId="Lijstalinea">
    <w:name w:val="List Paragraph"/>
    <w:basedOn w:val="Standaard"/>
    <w:uiPriority w:val="34"/>
    <w:qFormat/>
    <w:rsid w:val="00F15ACB"/>
    <w:pPr>
      <w:spacing w:after="0" w:line="240" w:lineRule="auto"/>
      <w:ind w:left="720"/>
    </w:pPr>
    <w:rPr>
      <w:rFonts w:eastAsiaTheme="minorHAnsi" w:cs="Calibri"/>
      <w14:ligatures w14:val="standardContextual"/>
    </w:rPr>
  </w:style>
  <w:style w:type="table" w:styleId="Tabelraster">
    <w:name w:val="Table Grid"/>
    <w:basedOn w:val="Standaardtabel"/>
    <w:uiPriority w:val="59"/>
    <w:rsid w:val="00F466E3"/>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B034BC"/>
    <w:rPr>
      <w:vertAlign w:val="superscript"/>
    </w:rPr>
  </w:style>
  <w:style w:type="character" w:customStyle="1" w:styleId="VoetnoottekstChar">
    <w:name w:val="Voetnoottekst Char"/>
    <w:basedOn w:val="Standaardalinea-lettertype"/>
    <w:link w:val="Voetnoottekst"/>
    <w:uiPriority w:val="99"/>
    <w:semiHidden/>
    <w:rsid w:val="00B034BC"/>
    <w:rPr>
      <w:sz w:val="20"/>
      <w:szCs w:val="20"/>
    </w:rPr>
  </w:style>
  <w:style w:type="paragraph" w:styleId="Voetnoottekst">
    <w:name w:val="footnote text"/>
    <w:basedOn w:val="Standaard"/>
    <w:link w:val="VoetnoottekstChar"/>
    <w:uiPriority w:val="99"/>
    <w:semiHidden/>
    <w:unhideWhenUsed/>
    <w:rsid w:val="00B034BC"/>
    <w:pPr>
      <w:spacing w:after="0" w:line="240" w:lineRule="auto"/>
    </w:pPr>
    <w:rPr>
      <w:rFonts w:asciiTheme="minorHAnsi" w:eastAsiaTheme="minorHAnsi" w:hAnsiTheme="minorHAnsi" w:cstheme="minorBidi"/>
      <w:sz w:val="20"/>
      <w:szCs w:val="20"/>
    </w:rPr>
  </w:style>
  <w:style w:type="character" w:customStyle="1" w:styleId="VoetnoottekstChar1">
    <w:name w:val="Voetnoottekst Char1"/>
    <w:basedOn w:val="Standaardalinea-lettertype"/>
    <w:uiPriority w:val="99"/>
    <w:semiHidden/>
    <w:rsid w:val="00B034BC"/>
    <w:rPr>
      <w:rFonts w:ascii="Calibri" w:eastAsia="Calibri" w:hAnsi="Calibri" w:cs="Times New Roman"/>
      <w:sz w:val="20"/>
      <w:szCs w:val="20"/>
    </w:rPr>
  </w:style>
  <w:style w:type="paragraph" w:styleId="Koptekst">
    <w:name w:val="header"/>
    <w:basedOn w:val="Standaard"/>
    <w:link w:val="KoptekstChar"/>
    <w:uiPriority w:val="99"/>
    <w:semiHidden/>
    <w:unhideWhenUsed/>
    <w:rsid w:val="000631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631CF"/>
    <w:rPr>
      <w:rFonts w:ascii="Calibri" w:eastAsia="Calibri" w:hAnsi="Calibri" w:cs="Times New Roman"/>
    </w:rPr>
  </w:style>
  <w:style w:type="paragraph" w:styleId="Voettekst">
    <w:name w:val="footer"/>
    <w:basedOn w:val="Standaard"/>
    <w:link w:val="VoettekstChar"/>
    <w:uiPriority w:val="99"/>
    <w:semiHidden/>
    <w:unhideWhenUsed/>
    <w:rsid w:val="000631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0631C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612125">
      <w:bodyDiv w:val="1"/>
      <w:marLeft w:val="0"/>
      <w:marRight w:val="0"/>
      <w:marTop w:val="0"/>
      <w:marBottom w:val="0"/>
      <w:divBdr>
        <w:top w:val="none" w:sz="0" w:space="0" w:color="auto"/>
        <w:left w:val="none" w:sz="0" w:space="0" w:color="auto"/>
        <w:bottom w:val="none" w:sz="0" w:space="0" w:color="auto"/>
        <w:right w:val="none" w:sz="0" w:space="0" w:color="auto"/>
      </w:divBdr>
    </w:div>
    <w:div w:id="154259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aasb.org/publications/login/5312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aasb.org/publications/login/5312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aasb.org/publications/login/53126"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aasb.org/publications/login/5298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aasb.org/publications/login/5775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4fb3cb3-9e1e-46f0-b119-8cd519304795">
      <UserInfo>
        <DisplayName>Carl Roest</DisplayName>
        <AccountId>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D094F0746BFB4689EF920CC3B2BA2D" ma:contentTypeVersion="6" ma:contentTypeDescription="Een nieuw document maken." ma:contentTypeScope="" ma:versionID="8dd844b43d1a561b7195f16b7f2a8122">
  <xsd:schema xmlns:xsd="http://www.w3.org/2001/XMLSchema" xmlns:xs="http://www.w3.org/2001/XMLSchema" xmlns:p="http://schemas.microsoft.com/office/2006/metadata/properties" xmlns:ns2="6fda6b5d-a92e-4199-af38-78dc05d2982a" xmlns:ns3="a4fb3cb3-9e1e-46f0-b119-8cd519304795" targetNamespace="http://schemas.microsoft.com/office/2006/metadata/properties" ma:root="true" ma:fieldsID="bc5c0deab80fcc603294e2e8c3fb1710" ns2:_="" ns3:_="">
    <xsd:import namespace="6fda6b5d-a92e-4199-af38-78dc05d2982a"/>
    <xsd:import namespace="a4fb3cb3-9e1e-46f0-b119-8cd5193047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a6b5d-a92e-4199-af38-78dc05d2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b3cb3-9e1e-46f0-b119-8cd51930479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EE02E-403F-4A8A-8CD0-9E6F25448E92}">
  <ds:schemaRefs>
    <ds:schemaRef ds:uri="http://schemas.microsoft.com/office/2006/metadata/properties"/>
    <ds:schemaRef ds:uri="http://schemas.microsoft.com/office/infopath/2007/PartnerControls"/>
    <ds:schemaRef ds:uri="a4fb3cb3-9e1e-46f0-b119-8cd519304795"/>
  </ds:schemaRefs>
</ds:datastoreItem>
</file>

<file path=customXml/itemProps2.xml><?xml version="1.0" encoding="utf-8"?>
<ds:datastoreItem xmlns:ds="http://schemas.openxmlformats.org/officeDocument/2006/customXml" ds:itemID="{7B211B46-8F9A-4437-9AA3-0356A7A6A576}">
  <ds:schemaRefs>
    <ds:schemaRef ds:uri="http://schemas.microsoft.com/sharepoint/v3/contenttype/forms"/>
  </ds:schemaRefs>
</ds:datastoreItem>
</file>

<file path=customXml/itemProps3.xml><?xml version="1.0" encoding="utf-8"?>
<ds:datastoreItem xmlns:ds="http://schemas.openxmlformats.org/officeDocument/2006/customXml" ds:itemID="{7C794946-2405-4355-8EA9-661409CE1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a6b5d-a92e-4199-af38-78dc05d2982a"/>
    <ds:schemaRef ds:uri="a4fb3cb3-9e1e-46f0-b119-8cd519304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1861</Words>
  <Characters>10237</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12074</CharactersWithSpaces>
  <SharedDoc>false</SharedDoc>
  <HLinks>
    <vt:vector size="42" baseType="variant">
      <vt:variant>
        <vt:i4>1114234</vt:i4>
      </vt:variant>
      <vt:variant>
        <vt:i4>18</vt:i4>
      </vt:variant>
      <vt:variant>
        <vt:i4>0</vt:i4>
      </vt:variant>
      <vt:variant>
        <vt:i4>5</vt:i4>
      </vt:variant>
      <vt:variant>
        <vt:lpwstr>mailto:L.vanIerland@nba.nl</vt:lpwstr>
      </vt:variant>
      <vt:variant>
        <vt:lpwstr/>
      </vt:variant>
      <vt:variant>
        <vt:i4>7143432</vt:i4>
      </vt:variant>
      <vt:variant>
        <vt:i4>15</vt:i4>
      </vt:variant>
      <vt:variant>
        <vt:i4>0</vt:i4>
      </vt:variant>
      <vt:variant>
        <vt:i4>5</vt:i4>
      </vt:variant>
      <vt:variant>
        <vt:lpwstr>mailto:A.Houwaart@nba.nl</vt:lpwstr>
      </vt:variant>
      <vt:variant>
        <vt:lpwstr/>
      </vt:variant>
      <vt:variant>
        <vt:i4>7077947</vt:i4>
      </vt:variant>
      <vt:variant>
        <vt:i4>12</vt:i4>
      </vt:variant>
      <vt:variant>
        <vt:i4>0</vt:i4>
      </vt:variant>
      <vt:variant>
        <vt:i4>5</vt:i4>
      </vt:variant>
      <vt:variant>
        <vt:lpwstr>https://www.iaasb.org/publications/login/57750</vt:lpwstr>
      </vt:variant>
      <vt:variant>
        <vt:lpwstr/>
      </vt:variant>
      <vt:variant>
        <vt:i4>6815800</vt:i4>
      </vt:variant>
      <vt:variant>
        <vt:i4>9</vt:i4>
      </vt:variant>
      <vt:variant>
        <vt:i4>0</vt:i4>
      </vt:variant>
      <vt:variant>
        <vt:i4>5</vt:i4>
      </vt:variant>
      <vt:variant>
        <vt:lpwstr>https://www.iaasb.org/publications/login/53122</vt:lpwstr>
      </vt:variant>
      <vt:variant>
        <vt:lpwstr/>
      </vt:variant>
      <vt:variant>
        <vt:i4>7209016</vt:i4>
      </vt:variant>
      <vt:variant>
        <vt:i4>6</vt:i4>
      </vt:variant>
      <vt:variant>
        <vt:i4>0</vt:i4>
      </vt:variant>
      <vt:variant>
        <vt:i4>5</vt:i4>
      </vt:variant>
      <vt:variant>
        <vt:lpwstr>https://www.iaasb.org/publications/login/53124</vt:lpwstr>
      </vt:variant>
      <vt:variant>
        <vt:lpwstr/>
      </vt:variant>
      <vt:variant>
        <vt:i4>7077944</vt:i4>
      </vt:variant>
      <vt:variant>
        <vt:i4>3</vt:i4>
      </vt:variant>
      <vt:variant>
        <vt:i4>0</vt:i4>
      </vt:variant>
      <vt:variant>
        <vt:i4>5</vt:i4>
      </vt:variant>
      <vt:variant>
        <vt:lpwstr>https://www.iaasb.org/publications/login/53126</vt:lpwstr>
      </vt:variant>
      <vt:variant>
        <vt:lpwstr/>
      </vt:variant>
      <vt:variant>
        <vt:i4>6357043</vt:i4>
      </vt:variant>
      <vt:variant>
        <vt:i4>0</vt:i4>
      </vt:variant>
      <vt:variant>
        <vt:i4>0</vt:i4>
      </vt:variant>
      <vt:variant>
        <vt:i4>5</vt:i4>
      </vt:variant>
      <vt:variant>
        <vt:lpwstr>https://www.iaasb.org/publications/login/52983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Renne, Madelon</dc:creator>
  <cp:keywords/>
  <cp:lastModifiedBy>Els Geerts</cp:lastModifiedBy>
  <cp:revision>4</cp:revision>
  <cp:lastPrinted>2017-01-24T16:23:00Z</cp:lastPrinted>
  <dcterms:created xsi:type="dcterms:W3CDTF">2024-05-02T12:16:00Z</dcterms:created>
  <dcterms:modified xsi:type="dcterms:W3CDTF">2024-05-02T12:38:00Z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0x01010019D094F0746BFB4689EF920CC3B2BA2D</vt:lpwstr>
  </property>
</Properties>
</file>