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24AE9" w14:textId="77777777" w:rsidR="0006593B" w:rsidRPr="00E81D58" w:rsidRDefault="0006593B" w:rsidP="00D578E6">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4"/>
      </w:tblGrid>
      <w:tr w:rsidR="00EB7E5D" w:rsidRPr="00AA5A8D" w14:paraId="330D81D7" w14:textId="77777777" w:rsidTr="4E0A45C2">
        <w:tc>
          <w:tcPr>
            <w:tcW w:w="1668" w:type="dxa"/>
            <w:shd w:val="clear" w:color="auto" w:fill="auto"/>
          </w:tcPr>
          <w:p w14:paraId="2F3EA9C2" w14:textId="77777777" w:rsidR="00555E0F" w:rsidRDefault="00555E0F" w:rsidP="00D578E6">
            <w:pPr>
              <w:pStyle w:val="Geenafstand"/>
              <w:rPr>
                <w:b/>
              </w:rPr>
            </w:pPr>
          </w:p>
          <w:p w14:paraId="5950EE3F" w14:textId="77777777" w:rsidR="00EB7E5D" w:rsidRDefault="00EB7E5D" w:rsidP="00D578E6">
            <w:pPr>
              <w:pStyle w:val="Geenafstand"/>
              <w:rPr>
                <w:b/>
              </w:rPr>
            </w:pPr>
            <w:r>
              <w:rPr>
                <w:b/>
              </w:rPr>
              <w:t>Naam project</w:t>
            </w:r>
          </w:p>
          <w:p w14:paraId="5D119031" w14:textId="1DB1A9BE" w:rsidR="00D148F8" w:rsidRPr="00AA5A8D" w:rsidRDefault="00D148F8" w:rsidP="00D578E6">
            <w:pPr>
              <w:pStyle w:val="Geenafstand"/>
              <w:rPr>
                <w:b/>
              </w:rPr>
            </w:pPr>
            <w:r>
              <w:rPr>
                <w:b/>
              </w:rPr>
              <w:t>regelgeving</w:t>
            </w:r>
          </w:p>
        </w:tc>
        <w:tc>
          <w:tcPr>
            <w:tcW w:w="7544" w:type="dxa"/>
            <w:shd w:val="clear" w:color="auto" w:fill="auto"/>
          </w:tcPr>
          <w:p w14:paraId="05D5981F" w14:textId="18030FCF" w:rsidR="00EB7E5D" w:rsidRPr="007B28E0" w:rsidRDefault="006F4EB3" w:rsidP="00D578E6">
            <w:pPr>
              <w:pStyle w:val="Kop2"/>
              <w:spacing w:line="240" w:lineRule="auto"/>
              <w:rPr>
                <w:color w:val="auto"/>
              </w:rPr>
            </w:pPr>
            <w:r w:rsidRPr="5084B3BE">
              <w:rPr>
                <w:color w:val="auto"/>
              </w:rPr>
              <w:t xml:space="preserve">Evaluatie </w:t>
            </w:r>
            <w:r w:rsidR="00B675EC">
              <w:rPr>
                <w:color w:val="auto"/>
              </w:rPr>
              <w:t>S</w:t>
            </w:r>
            <w:r w:rsidRPr="5084B3BE">
              <w:rPr>
                <w:color w:val="auto"/>
              </w:rPr>
              <w:t xml:space="preserve">tandaard 700N- fraude en </w:t>
            </w:r>
            <w:r w:rsidR="375A7B58" w:rsidRPr="5084B3BE">
              <w:rPr>
                <w:color w:val="auto"/>
              </w:rPr>
              <w:t>continuïteit</w:t>
            </w:r>
          </w:p>
          <w:p w14:paraId="6E399B73" w14:textId="77777777" w:rsidR="009E733F" w:rsidRPr="0006593B" w:rsidRDefault="009E733F" w:rsidP="00D578E6">
            <w:pPr>
              <w:spacing w:line="240" w:lineRule="auto"/>
            </w:pPr>
          </w:p>
        </w:tc>
      </w:tr>
      <w:tr w:rsidR="00EB7E5D" w:rsidRPr="00AA5A8D" w14:paraId="16CE3BA9" w14:textId="77777777" w:rsidTr="4E0A45C2">
        <w:tc>
          <w:tcPr>
            <w:tcW w:w="1668" w:type="dxa"/>
            <w:shd w:val="clear" w:color="auto" w:fill="auto"/>
          </w:tcPr>
          <w:p w14:paraId="283AE0B6" w14:textId="77777777" w:rsidR="00EB7E5D" w:rsidRPr="0071645D" w:rsidRDefault="00EB7E5D" w:rsidP="00D578E6">
            <w:pPr>
              <w:pStyle w:val="Geenafstand"/>
              <w:rPr>
                <w:b/>
              </w:rPr>
            </w:pPr>
            <w:r w:rsidRPr="0071645D">
              <w:rPr>
                <w:b/>
              </w:rPr>
              <w:t>Status</w:t>
            </w:r>
          </w:p>
        </w:tc>
        <w:tc>
          <w:tcPr>
            <w:tcW w:w="7544" w:type="dxa"/>
            <w:shd w:val="clear" w:color="auto" w:fill="auto"/>
          </w:tcPr>
          <w:p w14:paraId="2B3F2860" w14:textId="3986125A" w:rsidR="00EB7E5D" w:rsidRDefault="00A6061E" w:rsidP="00D578E6">
            <w:pPr>
              <w:spacing w:after="0" w:line="240" w:lineRule="auto"/>
              <w:rPr>
                <w:b/>
              </w:rPr>
            </w:pPr>
            <w:r>
              <w:rPr>
                <w:b/>
              </w:rPr>
              <w:t>Goedgekeurd</w:t>
            </w:r>
            <w:r w:rsidR="00C173C3">
              <w:rPr>
                <w:b/>
              </w:rPr>
              <w:t xml:space="preserve"> in </w:t>
            </w:r>
            <w:r w:rsidR="008226A3">
              <w:rPr>
                <w:b/>
              </w:rPr>
              <w:t>College van Beroepsreglementering</w:t>
            </w:r>
            <w:r w:rsidR="00C173C3">
              <w:rPr>
                <w:b/>
              </w:rPr>
              <w:t xml:space="preserve"> op 17 oktober jl.</w:t>
            </w:r>
          </w:p>
          <w:p w14:paraId="75CB6428" w14:textId="09967B0B" w:rsidR="00A6061E" w:rsidRPr="0006593B" w:rsidRDefault="00A6061E" w:rsidP="00D578E6">
            <w:pPr>
              <w:spacing w:after="0" w:line="240" w:lineRule="auto"/>
              <w:rPr>
                <w:b/>
              </w:rPr>
            </w:pPr>
            <w:r>
              <w:rPr>
                <w:b/>
              </w:rPr>
              <w:t>Ter informatie naar bestuur</w:t>
            </w:r>
          </w:p>
        </w:tc>
      </w:tr>
      <w:tr w:rsidR="00042D33" w:rsidRPr="00AA5A8D" w14:paraId="1D8CD22F" w14:textId="77777777" w:rsidTr="4E0A45C2">
        <w:tc>
          <w:tcPr>
            <w:tcW w:w="1668" w:type="dxa"/>
            <w:shd w:val="clear" w:color="auto" w:fill="auto"/>
          </w:tcPr>
          <w:p w14:paraId="339FC472" w14:textId="2A04BAA3" w:rsidR="00042D33" w:rsidRPr="0071645D" w:rsidRDefault="00042D33" w:rsidP="00D578E6">
            <w:pPr>
              <w:pStyle w:val="Geenafstand"/>
              <w:rPr>
                <w:b/>
              </w:rPr>
            </w:pPr>
            <w:r>
              <w:rPr>
                <w:b/>
              </w:rPr>
              <w:t>Opsteller(s)</w:t>
            </w:r>
          </w:p>
        </w:tc>
        <w:tc>
          <w:tcPr>
            <w:tcW w:w="7544" w:type="dxa"/>
            <w:shd w:val="clear" w:color="auto" w:fill="auto"/>
          </w:tcPr>
          <w:p w14:paraId="13401C5D" w14:textId="3CBEDD23" w:rsidR="00042D33" w:rsidRPr="0006593B" w:rsidRDefault="006F4EB3" w:rsidP="00D578E6">
            <w:pPr>
              <w:spacing w:after="0" w:line="240" w:lineRule="auto"/>
              <w:rPr>
                <w:b/>
              </w:rPr>
            </w:pPr>
            <w:r>
              <w:rPr>
                <w:b/>
              </w:rPr>
              <w:t>Marianne van Kimmenade</w:t>
            </w:r>
            <w:r w:rsidR="00A96D68">
              <w:rPr>
                <w:b/>
              </w:rPr>
              <w:t>, Melissa Klaver, Mohamed Masri</w:t>
            </w:r>
          </w:p>
        </w:tc>
      </w:tr>
      <w:tr w:rsidR="00EB7E5D" w:rsidRPr="00AA5A8D" w14:paraId="7041A4B6" w14:textId="77777777" w:rsidTr="4E0A45C2">
        <w:tc>
          <w:tcPr>
            <w:tcW w:w="1668" w:type="dxa"/>
            <w:shd w:val="clear" w:color="auto" w:fill="auto"/>
          </w:tcPr>
          <w:p w14:paraId="00D36FE1" w14:textId="77777777" w:rsidR="00EB7E5D" w:rsidRPr="0071645D" w:rsidRDefault="00EB7E5D" w:rsidP="00D578E6">
            <w:pPr>
              <w:pStyle w:val="Geenafstand"/>
              <w:rPr>
                <w:b/>
              </w:rPr>
            </w:pPr>
            <w:r w:rsidRPr="0071645D">
              <w:rPr>
                <w:b/>
              </w:rPr>
              <w:t>Datum</w:t>
            </w:r>
          </w:p>
        </w:tc>
        <w:tc>
          <w:tcPr>
            <w:tcW w:w="7544" w:type="dxa"/>
            <w:shd w:val="clear" w:color="auto" w:fill="auto"/>
          </w:tcPr>
          <w:p w14:paraId="4A77C808" w14:textId="677AC928" w:rsidR="00EB7E5D" w:rsidRPr="0006593B" w:rsidRDefault="00BC41DA" w:rsidP="00D578E6">
            <w:pPr>
              <w:pStyle w:val="Geenafstand"/>
              <w:rPr>
                <w:b/>
                <w:bCs/>
              </w:rPr>
            </w:pPr>
            <w:r>
              <w:rPr>
                <w:b/>
                <w:bCs/>
              </w:rPr>
              <w:t xml:space="preserve">versie </w:t>
            </w:r>
            <w:r w:rsidR="00C173C3">
              <w:rPr>
                <w:b/>
                <w:bCs/>
              </w:rPr>
              <w:t>23</w:t>
            </w:r>
            <w:r w:rsidR="00E723DA">
              <w:rPr>
                <w:b/>
                <w:bCs/>
              </w:rPr>
              <w:t>-10</w:t>
            </w:r>
            <w:r w:rsidR="002861EB" w:rsidRPr="4E0A45C2">
              <w:rPr>
                <w:b/>
                <w:bCs/>
              </w:rPr>
              <w:t>-</w:t>
            </w:r>
            <w:r w:rsidR="00474C1D" w:rsidRPr="4E0A45C2">
              <w:rPr>
                <w:b/>
                <w:bCs/>
              </w:rPr>
              <w:t>202</w:t>
            </w:r>
            <w:r w:rsidR="00F466E3" w:rsidRPr="4E0A45C2">
              <w:rPr>
                <w:b/>
                <w:bCs/>
              </w:rPr>
              <w:t>4</w:t>
            </w:r>
          </w:p>
        </w:tc>
      </w:tr>
    </w:tbl>
    <w:p w14:paraId="2158BC33" w14:textId="77777777" w:rsidR="00EB7E5D" w:rsidRDefault="00EB7E5D" w:rsidP="00D578E6">
      <w:pPr>
        <w:pStyle w:val="Geenafstand"/>
        <w:rPr>
          <w:b/>
        </w:rPr>
      </w:pPr>
    </w:p>
    <w:p w14:paraId="6438C186" w14:textId="77777777" w:rsidR="00EB7E5D" w:rsidRPr="005C409B" w:rsidRDefault="00EB7E5D" w:rsidP="00D578E6">
      <w:pPr>
        <w:pStyle w:val="Geenafstand"/>
        <w:rPr>
          <w:rStyle w:val="Intensievebenadrukking"/>
          <w:i w:val="0"/>
          <w:iCs w:val="0"/>
          <w:color w:val="auto"/>
        </w:rPr>
      </w:pPr>
      <w:r w:rsidRPr="005C409B">
        <w:rPr>
          <w:rStyle w:val="Intensievebenadrukking"/>
          <w:i w:val="0"/>
          <w:iCs w:val="0"/>
          <w:color w:val="auto"/>
        </w:rPr>
        <w:t>Project team</w:t>
      </w:r>
    </w:p>
    <w:p w14:paraId="70651914" w14:textId="1A79EF8E" w:rsidR="00EB7E5D" w:rsidRDefault="00EB7E5D" w:rsidP="00D578E6">
      <w:pPr>
        <w:pStyle w:val="Geenafstand"/>
      </w:pPr>
      <w:r w:rsidRPr="00E81D58">
        <w:t xml:space="preserve">Projectsponsor: </w:t>
      </w:r>
      <w:r>
        <w:tab/>
      </w:r>
      <w:r w:rsidR="003047AC">
        <w:t>Frans de Groot (SCA)</w:t>
      </w:r>
    </w:p>
    <w:p w14:paraId="4F3965CF" w14:textId="52EF522B" w:rsidR="00A6061E" w:rsidRDefault="00A6061E" w:rsidP="00D578E6">
      <w:pPr>
        <w:pStyle w:val="Geenafstand"/>
      </w:pPr>
      <w:r>
        <w:t xml:space="preserve">Projectleiders: </w:t>
      </w:r>
      <w:r>
        <w:tab/>
      </w:r>
      <w:r>
        <w:tab/>
        <w:t>Marianne van Kimmenade en Melissa Klaver</w:t>
      </w:r>
    </w:p>
    <w:p w14:paraId="2D127D61" w14:textId="2599224B" w:rsidR="006F4EB3" w:rsidRPr="00E81D58" w:rsidRDefault="006F4EB3" w:rsidP="00D578E6">
      <w:pPr>
        <w:pStyle w:val="Geenafstand"/>
      </w:pPr>
    </w:p>
    <w:p w14:paraId="4D800D52" w14:textId="77777777" w:rsidR="006F4EB3" w:rsidRDefault="006F4EB3" w:rsidP="00D578E6">
      <w:pPr>
        <w:pStyle w:val="Geenafstand"/>
      </w:pPr>
    </w:p>
    <w:p w14:paraId="45737476" w14:textId="727165A2" w:rsidR="006F4EB3" w:rsidRPr="006F4EB3" w:rsidRDefault="003047AC" w:rsidP="00D578E6">
      <w:pPr>
        <w:pStyle w:val="Geenafstand"/>
        <w:rPr>
          <w:i/>
          <w:iCs/>
        </w:rPr>
      </w:pPr>
      <w:r w:rsidRPr="006F4EB3">
        <w:rPr>
          <w:i/>
          <w:iCs/>
        </w:rPr>
        <w:t>Continu</w:t>
      </w:r>
      <w:r>
        <w:rPr>
          <w:i/>
          <w:iCs/>
        </w:rPr>
        <w:t>ï</w:t>
      </w:r>
      <w:r w:rsidRPr="006F4EB3">
        <w:rPr>
          <w:i/>
          <w:iCs/>
        </w:rPr>
        <w:t>teit</w:t>
      </w:r>
      <w:r>
        <w:rPr>
          <w:i/>
          <w:iCs/>
        </w:rPr>
        <w:t xml:space="preserve"> </w:t>
      </w:r>
    </w:p>
    <w:p w14:paraId="23F4E8DE" w14:textId="6D9A8462" w:rsidR="006F4EB3" w:rsidRDefault="006F4EB3" w:rsidP="00D578E6">
      <w:pPr>
        <w:pStyle w:val="Geenafstand"/>
      </w:pPr>
      <w:r>
        <w:t xml:space="preserve">Melissa Klaver </w:t>
      </w:r>
    </w:p>
    <w:p w14:paraId="23D9B152" w14:textId="77777777" w:rsidR="006F4EB3" w:rsidRDefault="006F4EB3" w:rsidP="00D578E6">
      <w:pPr>
        <w:pStyle w:val="Geenafstand"/>
      </w:pPr>
    </w:p>
    <w:p w14:paraId="680E0CF3" w14:textId="2116AE3E" w:rsidR="006F4EB3" w:rsidRPr="006F4EB3" w:rsidRDefault="006F4EB3" w:rsidP="00D578E6">
      <w:pPr>
        <w:pStyle w:val="Geenafstand"/>
        <w:rPr>
          <w:i/>
          <w:iCs/>
        </w:rPr>
      </w:pPr>
      <w:r w:rsidRPr="006F4EB3">
        <w:rPr>
          <w:i/>
          <w:iCs/>
        </w:rPr>
        <w:t>Fraude</w:t>
      </w:r>
    </w:p>
    <w:p w14:paraId="33DDAFC8" w14:textId="5BD58F0D" w:rsidR="004D5965" w:rsidRDefault="006F4EB3" w:rsidP="00D578E6">
      <w:pPr>
        <w:pStyle w:val="Geenafstand"/>
      </w:pPr>
      <w:r>
        <w:t>Marianne van Kimmenade</w:t>
      </w:r>
      <w:r w:rsidR="00EF09AC">
        <w:t xml:space="preserve">, </w:t>
      </w:r>
      <w:r>
        <w:t>Mohamed Masri</w:t>
      </w:r>
      <w:r w:rsidR="000C28CE">
        <w:t>, Richelle Duiverman</w:t>
      </w:r>
    </w:p>
    <w:p w14:paraId="49EA817F" w14:textId="77777777" w:rsidR="004D5965" w:rsidRDefault="004D5965" w:rsidP="00D578E6">
      <w:pPr>
        <w:pStyle w:val="Geenafstand"/>
        <w:ind w:left="2127" w:hanging="2127"/>
      </w:pPr>
    </w:p>
    <w:p w14:paraId="0EF5DC27" w14:textId="77777777" w:rsidR="004D5965" w:rsidRPr="004D5965" w:rsidRDefault="004D5965" w:rsidP="00D578E6">
      <w:pPr>
        <w:pStyle w:val="Geenafstand"/>
        <w:ind w:left="2127" w:hanging="2127"/>
        <w:rPr>
          <w:i/>
          <w:iCs/>
        </w:rPr>
      </w:pPr>
      <w:r w:rsidRPr="004D5965">
        <w:rPr>
          <w:i/>
          <w:iCs/>
        </w:rPr>
        <w:t>Regelgeving</w:t>
      </w:r>
    </w:p>
    <w:p w14:paraId="57AFA795" w14:textId="0B2E611F" w:rsidR="00EB7E5D" w:rsidRDefault="00BB54ED" w:rsidP="00D578E6">
      <w:pPr>
        <w:pStyle w:val="Geenafstand"/>
        <w:ind w:left="2127" w:hanging="2127"/>
      </w:pPr>
      <w:r>
        <w:t>Berthold</w:t>
      </w:r>
      <w:r w:rsidR="00792642">
        <w:t xml:space="preserve"> de Jong</w:t>
      </w:r>
      <w:r w:rsidR="002D7F28">
        <w:t xml:space="preserve"> /</w:t>
      </w:r>
      <w:r w:rsidR="002D7F28" w:rsidRPr="002D7F28">
        <w:t xml:space="preserve"> </w:t>
      </w:r>
      <w:r w:rsidR="002D7F28">
        <w:t>Martijn Duffels</w:t>
      </w:r>
    </w:p>
    <w:p w14:paraId="5E486422" w14:textId="77777777" w:rsidR="002861EB" w:rsidRDefault="002861EB" w:rsidP="00D578E6">
      <w:pPr>
        <w:pStyle w:val="Geenafstand"/>
      </w:pPr>
    </w:p>
    <w:p w14:paraId="28F2407E" w14:textId="50E6F83A" w:rsidR="00EB7E5D" w:rsidRPr="00E81D58" w:rsidRDefault="54E7A291" w:rsidP="00D578E6">
      <w:pPr>
        <w:pStyle w:val="Geenafstand"/>
        <w:rPr>
          <w:i/>
          <w:iCs/>
        </w:rPr>
      </w:pPr>
      <w:r w:rsidRPr="00FF5027">
        <w:rPr>
          <w:i/>
        </w:rPr>
        <w:t>Communicatie</w:t>
      </w:r>
    </w:p>
    <w:p w14:paraId="5066EC2B" w14:textId="1296BAAF" w:rsidR="00EB7E5D" w:rsidRPr="00E81D58" w:rsidRDefault="54E7A291" w:rsidP="00D578E6">
      <w:pPr>
        <w:pStyle w:val="Geenafstand"/>
      </w:pPr>
      <w:r w:rsidRPr="30DC39AD">
        <w:t>nog te bepalen</w:t>
      </w:r>
    </w:p>
    <w:p w14:paraId="0FA02BAA" w14:textId="6D463143" w:rsidR="00EB7E5D" w:rsidRPr="00E81D58" w:rsidRDefault="00EB7E5D" w:rsidP="00D578E6">
      <w:pPr>
        <w:pStyle w:val="Geenafstand"/>
      </w:pPr>
    </w:p>
    <w:p w14:paraId="3B5D46CC" w14:textId="77777777" w:rsidR="00DE12CA" w:rsidRDefault="00DE12CA" w:rsidP="00D578E6">
      <w:pPr>
        <w:pStyle w:val="Geenafstand"/>
      </w:pPr>
    </w:p>
    <w:p w14:paraId="5CD93BCB" w14:textId="77777777" w:rsidR="00607C28" w:rsidRDefault="00607C28" w:rsidP="00D578E6">
      <w:pPr>
        <w:pStyle w:val="Geenafstand"/>
      </w:pPr>
    </w:p>
    <w:p w14:paraId="320C921B" w14:textId="37A80C1A" w:rsidR="00607C28" w:rsidRPr="005C409B" w:rsidRDefault="00607C28" w:rsidP="00D578E6">
      <w:pPr>
        <w:pStyle w:val="Geenafstand"/>
        <w:pBdr>
          <w:top w:val="single" w:sz="4" w:space="1" w:color="auto"/>
          <w:left w:val="single" w:sz="4" w:space="4" w:color="auto"/>
          <w:bottom w:val="single" w:sz="4" w:space="1" w:color="auto"/>
          <w:right w:val="single" w:sz="4" w:space="4" w:color="auto"/>
        </w:pBdr>
        <w:rPr>
          <w:rStyle w:val="Intensievebenadrukking"/>
          <w:i w:val="0"/>
          <w:iCs w:val="0"/>
          <w:color w:val="auto"/>
        </w:rPr>
      </w:pPr>
      <w:r w:rsidRPr="005C409B">
        <w:rPr>
          <w:rStyle w:val="Intensievebenadrukking"/>
          <w:i w:val="0"/>
          <w:iCs w:val="0"/>
          <w:color w:val="auto"/>
        </w:rPr>
        <w:t>Status projectplan</w:t>
      </w:r>
      <w:r w:rsidR="00F12EDD" w:rsidRPr="005C409B">
        <w:rPr>
          <w:rStyle w:val="Intensievebenadrukking"/>
          <w:i w:val="0"/>
          <w:iCs w:val="0"/>
          <w:color w:val="auto"/>
        </w:rPr>
        <w:t xml:space="preserve"> – </w:t>
      </w:r>
      <w:r w:rsidR="00A6061E">
        <w:rPr>
          <w:rStyle w:val="Intensievebenadrukking"/>
          <w:i w:val="0"/>
          <w:iCs w:val="0"/>
          <w:color w:val="auto"/>
        </w:rPr>
        <w:t>goedgekeurd</w:t>
      </w:r>
      <w:r w:rsidR="00A6061E" w:rsidRPr="005C409B">
        <w:rPr>
          <w:rStyle w:val="Intensievebenadrukking"/>
          <w:i w:val="0"/>
          <w:iCs w:val="0"/>
          <w:color w:val="auto"/>
        </w:rPr>
        <w:t xml:space="preserve"> </w:t>
      </w:r>
      <w:r w:rsidR="00B97984">
        <w:rPr>
          <w:rStyle w:val="Intensievebenadrukking"/>
          <w:i w:val="0"/>
          <w:iCs w:val="0"/>
          <w:color w:val="auto"/>
        </w:rPr>
        <w:t>CB</w:t>
      </w:r>
    </w:p>
    <w:p w14:paraId="5B2738BA" w14:textId="77777777" w:rsidR="00030C58" w:rsidRPr="00607C28" w:rsidRDefault="00030C58" w:rsidP="00D578E6">
      <w:pPr>
        <w:pStyle w:val="Geenafstand"/>
        <w:pBdr>
          <w:top w:val="single" w:sz="4" w:space="1" w:color="auto"/>
          <w:left w:val="single" w:sz="4" w:space="4" w:color="auto"/>
          <w:bottom w:val="single" w:sz="4" w:space="1" w:color="auto"/>
          <w:right w:val="single" w:sz="4" w:space="4" w:color="auto"/>
        </w:pBdr>
        <w:rPr>
          <w:rStyle w:val="Intensievebenadrukking"/>
          <w:color w:val="4F81BD" w:themeColor="accent1"/>
        </w:rPr>
      </w:pPr>
    </w:p>
    <w:p w14:paraId="1E45C1B9" w14:textId="488249CC" w:rsidR="00AE2422" w:rsidRDefault="00607C28" w:rsidP="00D578E6">
      <w:pPr>
        <w:pStyle w:val="Geenafstand"/>
        <w:pBdr>
          <w:top w:val="single" w:sz="4" w:space="1" w:color="auto"/>
          <w:left w:val="single" w:sz="4" w:space="4" w:color="auto"/>
          <w:bottom w:val="single" w:sz="4" w:space="1" w:color="auto"/>
          <w:right w:val="single" w:sz="4" w:space="4" w:color="auto"/>
        </w:pBdr>
      </w:pPr>
      <w:r>
        <w:t>Dit projectplan is opgesteld vanuit een overleg met CB en SCA in het voorjaar 2024</w:t>
      </w:r>
      <w:r w:rsidR="00AE2422">
        <w:t xml:space="preserve">, waarin de richting is aangegeven voor de te houden evaluatie van </w:t>
      </w:r>
      <w:r w:rsidR="00B675EC">
        <w:t>S</w:t>
      </w:r>
      <w:r w:rsidR="00AE2422">
        <w:t>tandaard 700 (paragraaf 29)</w:t>
      </w:r>
      <w:r>
        <w:t xml:space="preserve">. </w:t>
      </w:r>
    </w:p>
    <w:p w14:paraId="3CDB77AC" w14:textId="77777777" w:rsidR="00F00B2C" w:rsidRDefault="00F00B2C" w:rsidP="00D578E6">
      <w:pPr>
        <w:pStyle w:val="Geenafstand"/>
        <w:pBdr>
          <w:top w:val="single" w:sz="4" w:space="1" w:color="auto"/>
          <w:left w:val="single" w:sz="4" w:space="4" w:color="auto"/>
          <w:bottom w:val="single" w:sz="4" w:space="1" w:color="auto"/>
          <w:right w:val="single" w:sz="4" w:space="4" w:color="auto"/>
        </w:pBdr>
      </w:pPr>
    </w:p>
    <w:p w14:paraId="73D6F2A0" w14:textId="1F14A82F" w:rsidR="00EF09AC" w:rsidRDefault="006724A9" w:rsidP="00D578E6">
      <w:pPr>
        <w:pStyle w:val="Geenafstand"/>
        <w:pBdr>
          <w:top w:val="single" w:sz="4" w:space="1" w:color="auto"/>
          <w:left w:val="single" w:sz="4" w:space="4" w:color="auto"/>
          <w:bottom w:val="single" w:sz="4" w:space="1" w:color="auto"/>
          <w:right w:val="single" w:sz="4" w:space="4" w:color="auto"/>
        </w:pBdr>
      </w:pPr>
      <w:r>
        <w:t xml:space="preserve">Vervolgens is dit </w:t>
      </w:r>
      <w:r w:rsidR="009B3A9E">
        <w:t xml:space="preserve">projectplan besproken </w:t>
      </w:r>
      <w:r w:rsidR="00854728">
        <w:t xml:space="preserve">in september 2024 </w:t>
      </w:r>
      <w:r w:rsidR="00BE4E30">
        <w:t xml:space="preserve">met de subcommissie </w:t>
      </w:r>
      <w:proofErr w:type="spellStart"/>
      <w:r w:rsidR="00BE4E30">
        <w:t>assurance</w:t>
      </w:r>
      <w:proofErr w:type="spellEnd"/>
      <w:r w:rsidR="00BE4E30">
        <w:t xml:space="preserve"> (SCA) en aangepast op basis van input vanuit de SCA. </w:t>
      </w:r>
      <w:r w:rsidR="00F00B2C">
        <w:t>D</w:t>
      </w:r>
      <w:r w:rsidR="00607C28">
        <w:t xml:space="preserve">e NBA </w:t>
      </w:r>
      <w:r w:rsidR="00482868">
        <w:t>l</w:t>
      </w:r>
      <w:r w:rsidR="00F00B2C">
        <w:t>e</w:t>
      </w:r>
      <w:r w:rsidR="00482868">
        <w:t>gt d</w:t>
      </w:r>
      <w:r w:rsidR="000C0482">
        <w:t xml:space="preserve">it </w:t>
      </w:r>
      <w:r w:rsidR="00854728">
        <w:t xml:space="preserve">aangepaste </w:t>
      </w:r>
      <w:r w:rsidR="000C0482">
        <w:t>projectplan</w:t>
      </w:r>
      <w:r w:rsidR="00482868">
        <w:t xml:space="preserve"> </w:t>
      </w:r>
      <w:r w:rsidR="00ED72C3">
        <w:t xml:space="preserve">nu </w:t>
      </w:r>
      <w:r w:rsidR="00482868">
        <w:t xml:space="preserve">graag voor aan </w:t>
      </w:r>
      <w:r w:rsidR="00ED72C3">
        <w:t>het College van beroepsreglementering (CB)</w:t>
      </w:r>
      <w:r w:rsidR="00854728">
        <w:t xml:space="preserve"> </w:t>
      </w:r>
      <w:r w:rsidR="005918A0">
        <w:t xml:space="preserve">om </w:t>
      </w:r>
      <w:r w:rsidR="00882103">
        <w:t xml:space="preserve">de scope van de evaluatie </w:t>
      </w:r>
      <w:r w:rsidR="005918A0">
        <w:t xml:space="preserve">af te stemmen </w:t>
      </w:r>
      <w:r w:rsidR="00882103">
        <w:t xml:space="preserve">en </w:t>
      </w:r>
      <w:r w:rsidR="00AE2422">
        <w:t xml:space="preserve">hoe diepgaand we de evaluatie </w:t>
      </w:r>
      <w:r w:rsidR="00882103">
        <w:t xml:space="preserve">met stakeholders </w:t>
      </w:r>
      <w:r w:rsidR="00AE2422">
        <w:t xml:space="preserve">moeten uitvoeren. </w:t>
      </w:r>
    </w:p>
    <w:p w14:paraId="25AAEC81" w14:textId="77777777" w:rsidR="00EF09AC" w:rsidRDefault="00EF09AC" w:rsidP="00D578E6">
      <w:pPr>
        <w:pStyle w:val="Geenafstand"/>
        <w:pBdr>
          <w:top w:val="single" w:sz="4" w:space="1" w:color="auto"/>
          <w:left w:val="single" w:sz="4" w:space="4" w:color="auto"/>
          <w:bottom w:val="single" w:sz="4" w:space="1" w:color="auto"/>
          <w:right w:val="single" w:sz="4" w:space="4" w:color="auto"/>
        </w:pBdr>
      </w:pPr>
    </w:p>
    <w:p w14:paraId="4C085B84" w14:textId="265AB35B" w:rsidR="00607C28" w:rsidRPr="00E81D58" w:rsidRDefault="00B70896" w:rsidP="00D578E6">
      <w:pPr>
        <w:pStyle w:val="Geenafstand"/>
        <w:pBdr>
          <w:top w:val="single" w:sz="4" w:space="1" w:color="auto"/>
          <w:left w:val="single" w:sz="4" w:space="4" w:color="auto"/>
          <w:bottom w:val="single" w:sz="4" w:space="1" w:color="auto"/>
          <w:right w:val="single" w:sz="4" w:space="4" w:color="auto"/>
        </w:pBdr>
      </w:pPr>
      <w:r>
        <w:t xml:space="preserve">Omdat het voor de evaluatie van de toepassing van </w:t>
      </w:r>
      <w:r w:rsidR="00B675EC">
        <w:t>S</w:t>
      </w:r>
      <w:r>
        <w:t>tandaard 700 relevant is om te beschikken over actuele praktijkervaringen gaan we i</w:t>
      </w:r>
      <w:r w:rsidR="00882103">
        <w:t>n navolging van de analyse van de rapportering over fraude en continuïteit in de controleverklaringen 2022</w:t>
      </w:r>
      <w:r w:rsidR="00A7082E">
        <w:rPr>
          <w:rStyle w:val="Voetnootmarkering"/>
        </w:rPr>
        <w:footnoteReference w:id="2"/>
      </w:r>
      <w:r w:rsidR="00882103">
        <w:t xml:space="preserve"> </w:t>
      </w:r>
      <w:r>
        <w:t xml:space="preserve">ook </w:t>
      </w:r>
      <w:r w:rsidR="00882103">
        <w:t>onderzoek doen naar de rapportering in de controleverklaringen 2023</w:t>
      </w:r>
      <w:r w:rsidR="002A603C">
        <w:t xml:space="preserve"> en ontwikkelingen in de toepassing </w:t>
      </w:r>
      <w:r w:rsidR="00F168B3">
        <w:t xml:space="preserve">hiervan ten aanzien van het </w:t>
      </w:r>
      <w:proofErr w:type="spellStart"/>
      <w:r w:rsidR="00F168B3">
        <w:t>klantspecifiek</w:t>
      </w:r>
      <w:proofErr w:type="spellEnd"/>
      <w:r w:rsidR="00F168B3">
        <w:t xml:space="preserve"> rapporteren</w:t>
      </w:r>
      <w:r w:rsidR="00A7082E">
        <w:t>.</w:t>
      </w:r>
    </w:p>
    <w:p w14:paraId="5396C8D4" w14:textId="77777777" w:rsidR="00EB7E5D" w:rsidRDefault="00EB7E5D" w:rsidP="00D578E6">
      <w:pPr>
        <w:pStyle w:val="Geenafstand"/>
        <w:rPr>
          <w:rStyle w:val="Intensievebenadrukking"/>
        </w:rPr>
      </w:pPr>
    </w:p>
    <w:p w14:paraId="7EBCCAAE" w14:textId="77777777" w:rsidR="00DE12CA" w:rsidRDefault="00DE12CA" w:rsidP="00D578E6">
      <w:pPr>
        <w:autoSpaceDE w:val="0"/>
        <w:autoSpaceDN w:val="0"/>
        <w:adjustRightInd w:val="0"/>
        <w:spacing w:after="0" w:line="240" w:lineRule="auto"/>
        <w:rPr>
          <w:rStyle w:val="Intensievebenadrukking"/>
          <w:color w:val="4F81BD" w:themeColor="accent1"/>
        </w:rPr>
      </w:pPr>
      <w:r>
        <w:rPr>
          <w:rStyle w:val="Intensievebenadrukking"/>
          <w:color w:val="4F81BD" w:themeColor="accent1"/>
        </w:rPr>
        <w:br w:type="page"/>
      </w:r>
    </w:p>
    <w:p w14:paraId="4DDB27DE" w14:textId="2B3AE0EC" w:rsidR="00A27460" w:rsidRPr="009534A5" w:rsidRDefault="005D4B34" w:rsidP="00D578E6">
      <w:pPr>
        <w:pStyle w:val="Lijstalinea"/>
        <w:numPr>
          <w:ilvl w:val="0"/>
          <w:numId w:val="24"/>
        </w:numPr>
        <w:autoSpaceDE w:val="0"/>
        <w:autoSpaceDN w:val="0"/>
        <w:adjustRightInd w:val="0"/>
        <w:rPr>
          <w:rStyle w:val="Intensievebenadrukking"/>
          <w:i w:val="0"/>
          <w:iCs w:val="0"/>
          <w:color w:val="auto"/>
        </w:rPr>
      </w:pPr>
      <w:r w:rsidRPr="009534A5">
        <w:rPr>
          <w:rStyle w:val="Intensievebenadrukking"/>
          <w:i w:val="0"/>
          <w:iCs w:val="0"/>
          <w:color w:val="auto"/>
        </w:rPr>
        <w:lastRenderedPageBreak/>
        <w:t>Aanleiding</w:t>
      </w:r>
      <w:r w:rsidR="009534A5" w:rsidRPr="009534A5">
        <w:rPr>
          <w:rStyle w:val="Intensievebenadrukking"/>
          <w:i w:val="0"/>
          <w:iCs w:val="0"/>
          <w:color w:val="auto"/>
        </w:rPr>
        <w:t xml:space="preserve"> </w:t>
      </w:r>
      <w:r w:rsidR="00894CDC" w:rsidRPr="009534A5">
        <w:rPr>
          <w:rStyle w:val="Intensievebenadrukking"/>
          <w:i w:val="0"/>
          <w:iCs w:val="0"/>
          <w:color w:val="auto"/>
        </w:rPr>
        <w:t xml:space="preserve">NBA </w:t>
      </w:r>
      <w:r w:rsidR="00F64F76" w:rsidRPr="009534A5">
        <w:rPr>
          <w:rStyle w:val="Intensievebenadrukking"/>
          <w:i w:val="0"/>
          <w:iCs w:val="0"/>
          <w:color w:val="auto"/>
        </w:rPr>
        <w:t>bestuurs</w:t>
      </w:r>
      <w:r w:rsidR="00894CDC" w:rsidRPr="009534A5">
        <w:rPr>
          <w:rStyle w:val="Intensievebenadrukking"/>
          <w:i w:val="0"/>
          <w:iCs w:val="0"/>
          <w:color w:val="auto"/>
        </w:rPr>
        <w:t>besluit inzake e</w:t>
      </w:r>
      <w:r w:rsidR="00A27460" w:rsidRPr="009534A5">
        <w:rPr>
          <w:rStyle w:val="Intensievebenadrukking"/>
          <w:i w:val="0"/>
          <w:iCs w:val="0"/>
          <w:color w:val="auto"/>
        </w:rPr>
        <w:t xml:space="preserve">valuatie </w:t>
      </w:r>
      <w:r w:rsidR="00B675EC">
        <w:rPr>
          <w:rStyle w:val="Intensievebenadrukking"/>
          <w:i w:val="0"/>
          <w:iCs w:val="0"/>
          <w:color w:val="auto"/>
        </w:rPr>
        <w:t>S</w:t>
      </w:r>
      <w:r w:rsidR="00A27460" w:rsidRPr="009534A5">
        <w:rPr>
          <w:rStyle w:val="Intensievebenadrukking"/>
          <w:i w:val="0"/>
          <w:iCs w:val="0"/>
          <w:color w:val="auto"/>
        </w:rPr>
        <w:t>tandaard 700</w:t>
      </w:r>
    </w:p>
    <w:p w14:paraId="15876CA4" w14:textId="77777777" w:rsidR="000B03A6" w:rsidRDefault="007D380F" w:rsidP="00D578E6">
      <w:pPr>
        <w:pStyle w:val="Geenafstand"/>
      </w:pPr>
      <w:r w:rsidRPr="007D380F">
        <w:t xml:space="preserve">Met ingang van verslagjaar 2021 is </w:t>
      </w:r>
      <w:r w:rsidR="00CA3BEC">
        <w:t xml:space="preserve">in Standaard 700 </w:t>
      </w:r>
      <w:r w:rsidRPr="007D380F">
        <w:t>een verplichting opgenomen om te rapporteren over fraude en continuïteit in de controleverklaring (Standaard 700.29A/29B). </w:t>
      </w:r>
      <w:r w:rsidR="000B03A6">
        <w:t xml:space="preserve">Deze verplichting geldt voor wettelijke controles als bedoeld in artikel 1 van de </w:t>
      </w:r>
      <w:proofErr w:type="spellStart"/>
      <w:r w:rsidR="000B03A6">
        <w:t>Wta</w:t>
      </w:r>
      <w:proofErr w:type="spellEnd"/>
      <w:r w:rsidR="000B03A6">
        <w:t xml:space="preserve">. Bij andere controles kan de nieuwe regelgeving vrijwillig worden toegepast. </w:t>
      </w:r>
    </w:p>
    <w:p w14:paraId="0AA4B73B" w14:textId="77777777" w:rsidR="00CA3BEC" w:rsidRDefault="00CA3BEC" w:rsidP="00D578E6">
      <w:pPr>
        <w:pStyle w:val="Geenafstand"/>
      </w:pPr>
    </w:p>
    <w:p w14:paraId="51A28FE9" w14:textId="540E59AA" w:rsidR="007D380F" w:rsidRDefault="007D380F" w:rsidP="00D578E6">
      <w:pPr>
        <w:pStyle w:val="Geenafstand"/>
      </w:pPr>
      <w:r w:rsidRPr="007D380F">
        <w:t xml:space="preserve">Bij de totstandkoming van deze regelgeving heeft het </w:t>
      </w:r>
      <w:r w:rsidR="0006321F">
        <w:t xml:space="preserve">NBA </w:t>
      </w:r>
      <w:r w:rsidRPr="007D380F">
        <w:t xml:space="preserve">bestuur </w:t>
      </w:r>
      <w:r w:rsidR="00850137">
        <w:t>toegezegd</w:t>
      </w:r>
      <w:r w:rsidR="00850137">
        <w:rPr>
          <w:rStyle w:val="Voetnootmarkering"/>
        </w:rPr>
        <w:footnoteReference w:id="3"/>
      </w:r>
      <w:r w:rsidR="00850137" w:rsidRPr="007D380F">
        <w:t xml:space="preserve"> </w:t>
      </w:r>
      <w:r w:rsidRPr="007D380F">
        <w:t>om</w:t>
      </w:r>
      <w:r>
        <w:t>:</w:t>
      </w:r>
    </w:p>
    <w:p w14:paraId="13820F1D" w14:textId="1C6EEEA4" w:rsidR="007D380F" w:rsidRPr="007D380F" w:rsidRDefault="007D380F" w:rsidP="00D578E6">
      <w:pPr>
        <w:pStyle w:val="Geenafstand"/>
        <w:numPr>
          <w:ilvl w:val="0"/>
          <w:numId w:val="19"/>
        </w:numPr>
        <w:rPr>
          <w:b/>
          <w:bCs/>
          <w:i/>
          <w:iCs/>
        </w:rPr>
      </w:pPr>
      <w:r w:rsidRPr="007D380F">
        <w:t xml:space="preserve">tussentijds te evalueren of het opnemen van bevindingen </w:t>
      </w:r>
      <w:r w:rsidRPr="00D578E6">
        <w:rPr>
          <w:i/>
        </w:rPr>
        <w:t>een verplicht karakter</w:t>
      </w:r>
      <w:r w:rsidRPr="007D380F">
        <w:t xml:space="preserve"> zou moeten hebben </w:t>
      </w:r>
      <w:r>
        <w:t>(</w:t>
      </w:r>
      <w:r w:rsidRPr="00CE1C84">
        <w:rPr>
          <w:i/>
          <w:iCs/>
        </w:rPr>
        <w:t xml:space="preserve">deze evaluatie is in 2022 door de NBA </w:t>
      </w:r>
      <w:r w:rsidR="00850137">
        <w:rPr>
          <w:i/>
          <w:iCs/>
        </w:rPr>
        <w:t>v</w:t>
      </w:r>
      <w:r w:rsidR="008E5D14">
        <w:rPr>
          <w:i/>
          <w:iCs/>
        </w:rPr>
        <w:t xml:space="preserve">oor fraude </w:t>
      </w:r>
      <w:r w:rsidRPr="00CE1C84">
        <w:rPr>
          <w:i/>
          <w:iCs/>
        </w:rPr>
        <w:t>uitgevoerd en gerapporteerd</w:t>
      </w:r>
      <w:r>
        <w:t>) en</w:t>
      </w:r>
    </w:p>
    <w:p w14:paraId="0014BDCF" w14:textId="7D67BB1D" w:rsidR="007D380F" w:rsidRPr="007D380F" w:rsidRDefault="00331266" w:rsidP="00D578E6">
      <w:pPr>
        <w:pStyle w:val="Geenafstand"/>
        <w:numPr>
          <w:ilvl w:val="0"/>
          <w:numId w:val="19"/>
        </w:numPr>
        <w:rPr>
          <w:b/>
          <w:bCs/>
          <w:i/>
          <w:iCs/>
        </w:rPr>
      </w:pPr>
      <w:r>
        <w:t xml:space="preserve">de </w:t>
      </w:r>
      <w:r w:rsidRPr="00D578E6">
        <w:rPr>
          <w:i/>
        </w:rPr>
        <w:t>effectiviteit van de maatregel</w:t>
      </w:r>
      <w:r>
        <w:t xml:space="preserve"> (verplichte rapportering over fraude en continuïteit) te evalueren; dit betekent </w:t>
      </w:r>
      <w:r w:rsidR="007D380F">
        <w:t xml:space="preserve">dat de </w:t>
      </w:r>
      <w:r>
        <w:t xml:space="preserve">doorgevoerde aanpassingen in de </w:t>
      </w:r>
      <w:r w:rsidR="00B675EC">
        <w:t>S</w:t>
      </w:r>
      <w:r w:rsidR="007D380F">
        <w:t xml:space="preserve">tandaard geëvalueerd </w:t>
      </w:r>
      <w:r>
        <w:t>worden</w:t>
      </w:r>
      <w:r w:rsidR="00D46A1B">
        <w:t xml:space="preserve"> </w:t>
      </w:r>
      <w:r w:rsidR="00CE1C84">
        <w:t>(</w:t>
      </w:r>
      <w:r w:rsidR="00CE1C84" w:rsidRPr="1BAEFF4E">
        <w:rPr>
          <w:i/>
          <w:iCs/>
        </w:rPr>
        <w:t>deze evaluatie is in dit projectplan uitgewerkt)</w:t>
      </w:r>
      <w:r w:rsidR="007D380F" w:rsidRPr="1BAEFF4E">
        <w:rPr>
          <w:i/>
          <w:iCs/>
        </w:rPr>
        <w:t>.</w:t>
      </w:r>
      <w:r w:rsidR="007D380F">
        <w:t xml:space="preserve">  </w:t>
      </w:r>
    </w:p>
    <w:p w14:paraId="3BA86B29" w14:textId="77777777" w:rsidR="00CE1C84" w:rsidRDefault="00CE1C84" w:rsidP="00D578E6">
      <w:pPr>
        <w:pStyle w:val="Geenafstand"/>
      </w:pPr>
    </w:p>
    <w:p w14:paraId="32B41AB6" w14:textId="21AC0681" w:rsidR="00F05909" w:rsidRDefault="00F31A0E" w:rsidP="00D578E6">
      <w:pPr>
        <w:pStyle w:val="Geenafstand"/>
      </w:pPr>
      <w:r>
        <w:t>In het kader van</w:t>
      </w:r>
      <w:r w:rsidR="007D380F">
        <w:t xml:space="preserve"> de evaluatie</w:t>
      </w:r>
      <w:r>
        <w:t xml:space="preserve"> van de effectiviteit van de rapport</w:t>
      </w:r>
      <w:r w:rsidR="007E3F2A">
        <w:t>ageverplichting</w:t>
      </w:r>
      <w:r w:rsidR="007D380F">
        <w:t xml:space="preserve"> </w:t>
      </w:r>
      <w:r>
        <w:t xml:space="preserve">zal </w:t>
      </w:r>
      <w:r w:rsidR="007E3F2A">
        <w:t xml:space="preserve">gekeken worden of </w:t>
      </w:r>
      <w:r w:rsidR="00A92342">
        <w:t>de</w:t>
      </w:r>
      <w:r w:rsidR="007E3F2A">
        <w:t xml:space="preserve"> Nederlandse </w:t>
      </w:r>
      <w:r w:rsidR="00A92342">
        <w:t>rapportage</w:t>
      </w:r>
      <w:r w:rsidR="007E3F2A">
        <w:t>verplichting</w:t>
      </w:r>
      <w:r w:rsidR="00A92342">
        <w:t xml:space="preserve"> in </w:t>
      </w:r>
      <w:r w:rsidR="00B675EC">
        <w:t>S</w:t>
      </w:r>
      <w:r w:rsidR="00A92342">
        <w:t>tandaard 700</w:t>
      </w:r>
      <w:r w:rsidR="007E3F2A">
        <w:t xml:space="preserve">, die afwijkt van </w:t>
      </w:r>
      <w:r w:rsidR="00A92342">
        <w:t xml:space="preserve">de </w:t>
      </w:r>
      <w:r w:rsidR="007E3F2A">
        <w:t xml:space="preserve">internationale standaarden, gehandhaafd moet blijven. Zo ja, dan zullen daarbij de destijds ingenomen standpunten over </w:t>
      </w:r>
      <w:r w:rsidR="00F05909">
        <w:t xml:space="preserve">‘kan’-bepalingen, het rapporteren over </w:t>
      </w:r>
      <w:r w:rsidR="00D6298E">
        <w:t xml:space="preserve">belangrijke </w:t>
      </w:r>
      <w:r w:rsidR="00F05909">
        <w:t xml:space="preserve">waarnemingen en </w:t>
      </w:r>
      <w:r w:rsidR="00D6298E">
        <w:t>uitkomsten van de werkzaamheden</w:t>
      </w:r>
      <w:r w:rsidR="00F05909">
        <w:t xml:space="preserve">, </w:t>
      </w:r>
      <w:r w:rsidR="007D380F">
        <w:t>proportionaliteit, reikwijdte van de verplichting (nu beperkt tot het wettelijk domein)</w:t>
      </w:r>
      <w:r w:rsidR="00E96D3F">
        <w:t xml:space="preserve"> en</w:t>
      </w:r>
      <w:r w:rsidR="007D380F">
        <w:t xml:space="preserve"> de relatie met Standaard 250 </w:t>
      </w:r>
      <w:r w:rsidR="007E3F2A">
        <w:t xml:space="preserve">worden heroverwogen. </w:t>
      </w:r>
      <w:r w:rsidR="00F05909">
        <w:t>Ook</w:t>
      </w:r>
      <w:r w:rsidR="007E3F2A">
        <w:t xml:space="preserve"> </w:t>
      </w:r>
      <w:r w:rsidR="00F05909">
        <w:t>kunnen</w:t>
      </w:r>
      <w:r w:rsidR="007E3F2A">
        <w:t xml:space="preserve"> nieuwe aspecten </w:t>
      </w:r>
      <w:r w:rsidR="00F05909">
        <w:t xml:space="preserve">worden </w:t>
      </w:r>
      <w:r w:rsidR="007E3F2A">
        <w:t xml:space="preserve">betrokken. </w:t>
      </w:r>
    </w:p>
    <w:p w14:paraId="16671ECE" w14:textId="77777777" w:rsidR="00F05909" w:rsidRDefault="00F05909" w:rsidP="00D578E6">
      <w:pPr>
        <w:pStyle w:val="Geenafstand"/>
      </w:pPr>
    </w:p>
    <w:p w14:paraId="261ED63E" w14:textId="56871D5E" w:rsidR="007D380F" w:rsidRDefault="00F05909" w:rsidP="00D578E6">
      <w:pPr>
        <w:pStyle w:val="Geenafstand"/>
      </w:pPr>
      <w:r>
        <w:t xml:space="preserve">De focus van de evaluatie ligt allereerst op de effectiviteit van de bestaande </w:t>
      </w:r>
      <w:r w:rsidR="00B675EC">
        <w:t>S</w:t>
      </w:r>
      <w:r>
        <w:t>tandaard 700</w:t>
      </w:r>
      <w:r w:rsidR="00CD1D38">
        <w:t>.</w:t>
      </w:r>
      <w:r w:rsidR="00CD1D38" w:rsidRPr="007D380F">
        <w:t>29A/29B</w:t>
      </w:r>
      <w:r>
        <w:t xml:space="preserve"> en hoe deze in de praktijk is toegepast. Daarnaast spelen internationale </w:t>
      </w:r>
      <w:r w:rsidR="00B675EC">
        <w:t>aanpassingen</w:t>
      </w:r>
      <w:r>
        <w:t xml:space="preserve"> van de </w:t>
      </w:r>
      <w:proofErr w:type="spellStart"/>
      <w:r>
        <w:t>ISA’s</w:t>
      </w:r>
      <w:proofErr w:type="spellEnd"/>
      <w:r>
        <w:t xml:space="preserve"> 570 en 240 die deels samenloop kennen met </w:t>
      </w:r>
      <w:r w:rsidR="00B675EC">
        <w:t>S</w:t>
      </w:r>
      <w:r>
        <w:t>tandaard 700.</w:t>
      </w:r>
      <w:r w:rsidRPr="007D380F">
        <w:t>29A/29B</w:t>
      </w:r>
      <w:r>
        <w:t xml:space="preserve">. Daarom zullen we </w:t>
      </w:r>
      <w:r w:rsidR="00B675EC">
        <w:t xml:space="preserve">bij </w:t>
      </w:r>
      <w:r w:rsidR="007E3F2A">
        <w:t xml:space="preserve">de evaluatie ook </w:t>
      </w:r>
      <w:r w:rsidR="00E5759B">
        <w:t>de aanpassingen</w:t>
      </w:r>
      <w:r w:rsidR="007D380F">
        <w:t xml:space="preserve"> in internationale </w:t>
      </w:r>
      <w:proofErr w:type="spellStart"/>
      <w:r w:rsidR="00B675EC">
        <w:t>ISA’s</w:t>
      </w:r>
      <w:proofErr w:type="spellEnd"/>
      <w:r w:rsidR="00E5759B">
        <w:t xml:space="preserve"> meenemen</w:t>
      </w:r>
      <w:r w:rsidR="00267E33">
        <w:t xml:space="preserve">, die </w:t>
      </w:r>
      <w:r>
        <w:t xml:space="preserve">definitief worden in Q4 2024 (ISA 570) en Q1 2025 (ISA 240) en zullen gaan gelden </w:t>
      </w:r>
      <w:r w:rsidR="00267E33">
        <w:t>per 2027</w:t>
      </w:r>
      <w:r w:rsidR="00762871">
        <w:t>.</w:t>
      </w:r>
    </w:p>
    <w:p w14:paraId="62A8A811" w14:textId="77777777" w:rsidR="000334D6" w:rsidRDefault="000334D6" w:rsidP="00D578E6">
      <w:pPr>
        <w:pStyle w:val="Geenafstand"/>
      </w:pPr>
    </w:p>
    <w:p w14:paraId="5176274A" w14:textId="77777777" w:rsidR="000334D6" w:rsidRDefault="000334D6" w:rsidP="00D578E6">
      <w:pPr>
        <w:pStyle w:val="Geenafstand"/>
        <w:ind w:left="284"/>
      </w:pPr>
    </w:p>
    <w:p w14:paraId="3CCE1FB2" w14:textId="4F2ECF96" w:rsidR="000334D6" w:rsidRPr="00440DB8" w:rsidRDefault="000334D6" w:rsidP="00D578E6">
      <w:pPr>
        <w:pStyle w:val="Geenafstand"/>
        <w:numPr>
          <w:ilvl w:val="0"/>
          <w:numId w:val="24"/>
        </w:numPr>
        <w:rPr>
          <w:rStyle w:val="Intensievebenadrukking"/>
          <w:i w:val="0"/>
          <w:iCs w:val="0"/>
          <w:color w:val="auto"/>
        </w:rPr>
      </w:pPr>
      <w:r w:rsidRPr="00440DB8">
        <w:rPr>
          <w:rStyle w:val="Intensievebenadrukking"/>
          <w:i w:val="0"/>
          <w:iCs w:val="0"/>
          <w:color w:val="auto"/>
        </w:rPr>
        <w:t>Doelstelling</w:t>
      </w:r>
    </w:p>
    <w:p w14:paraId="582EFD3E" w14:textId="7CC9FF66" w:rsidR="00B94D62" w:rsidRDefault="00DE5EE2" w:rsidP="00D578E6">
      <w:pPr>
        <w:pStyle w:val="Geenafstand"/>
      </w:pPr>
      <w:r>
        <w:t>Doelstelling is n</w:t>
      </w:r>
      <w:r w:rsidR="000334D6" w:rsidRPr="00440DB8">
        <w:t xml:space="preserve">akomen </w:t>
      </w:r>
      <w:r>
        <w:t>van het</w:t>
      </w:r>
      <w:r w:rsidR="000334D6" w:rsidRPr="00440DB8">
        <w:t xml:space="preserve"> bestuursbesluit uit 2021 inzake uitvoering van de evaluatie (was beoogd in 2022). Dit betekent een zorgvuldige afstemming houden met stakeholders </w:t>
      </w:r>
      <w:r w:rsidR="00A23B01">
        <w:t>(</w:t>
      </w:r>
      <w:r w:rsidR="00C23A62">
        <w:t xml:space="preserve">zie verder in paragraaf 5) </w:t>
      </w:r>
      <w:r w:rsidR="000334D6" w:rsidRPr="00440DB8">
        <w:t xml:space="preserve">over de rapportering in de controleverklaring en ophalen </w:t>
      </w:r>
      <w:r w:rsidR="00267E33">
        <w:t xml:space="preserve">van </w:t>
      </w:r>
      <w:r w:rsidR="000334D6" w:rsidRPr="00440DB8">
        <w:t xml:space="preserve">goede punten en aandachtpunten die noodzaken tot aanpassing van Standaard 700. </w:t>
      </w:r>
      <w:r w:rsidR="007240AF">
        <w:t xml:space="preserve">Belangrijk voor de evaluatie zijn: objectiviteit, actualiteit en representativiteit van het onderzoek. </w:t>
      </w:r>
    </w:p>
    <w:p w14:paraId="057F8D09" w14:textId="77777777" w:rsidR="00B94D62" w:rsidRDefault="00B94D62" w:rsidP="00D578E6">
      <w:pPr>
        <w:pStyle w:val="Geenafstand"/>
      </w:pPr>
    </w:p>
    <w:p w14:paraId="4025EDF7" w14:textId="01F5C758" w:rsidR="00DC2F71" w:rsidRPr="00B57103" w:rsidRDefault="00267E33" w:rsidP="00D578E6">
      <w:pPr>
        <w:pStyle w:val="Geenafstand"/>
      </w:pPr>
      <w:r>
        <w:t xml:space="preserve">In dit kader </w:t>
      </w:r>
      <w:r w:rsidR="00A17916">
        <w:t xml:space="preserve">worden </w:t>
      </w:r>
      <w:r>
        <w:t>in navolging van eerdere NBA onderzoeken de controleverklaringen 2023 op specifieke aspecten geanalyseerd</w:t>
      </w:r>
      <w:r w:rsidR="00971C28">
        <w:t xml:space="preserve"> en nemen we de ontwikkelingen ten aanzien van het </w:t>
      </w:r>
      <w:proofErr w:type="spellStart"/>
      <w:r w:rsidR="00971C28">
        <w:t>klantspecifiek</w:t>
      </w:r>
      <w:proofErr w:type="spellEnd"/>
      <w:r w:rsidR="00971C28">
        <w:t xml:space="preserve"> rapporteren over 2022 / 2023 mee</w:t>
      </w:r>
      <w:r>
        <w:t xml:space="preserve">. </w:t>
      </w:r>
      <w:r w:rsidR="000334D6" w:rsidRPr="00440DB8">
        <w:t>De</w:t>
      </w:r>
      <w:r>
        <w:t xml:space="preserve"> analyse van de verklaringen en de</w:t>
      </w:r>
      <w:r w:rsidR="000334D6" w:rsidRPr="00440DB8">
        <w:t xml:space="preserve"> evaluatie geschied</w:t>
      </w:r>
      <w:r>
        <w:t>en</w:t>
      </w:r>
      <w:r w:rsidR="000334D6" w:rsidRPr="00440DB8">
        <w:t xml:space="preserve"> onder verantwoordelijkheid van het CB</w:t>
      </w:r>
      <w:r w:rsidR="00DC2F71" w:rsidRPr="00B57103">
        <w:t>.</w:t>
      </w:r>
      <w:r w:rsidR="007240AF">
        <w:t xml:space="preserve"> </w:t>
      </w:r>
      <w:r w:rsidR="00DC2F71" w:rsidRPr="00B57103">
        <w:t>Het CB zal op basis van de</w:t>
      </w:r>
      <w:r>
        <w:t xml:space="preserve"> </w:t>
      </w:r>
      <w:r w:rsidR="00DC2F71" w:rsidRPr="00B57103">
        <w:t xml:space="preserve">evaluatie beoordelen of </w:t>
      </w:r>
      <w:r w:rsidR="00B675EC">
        <w:t>S</w:t>
      </w:r>
      <w:r w:rsidR="00DC2F71" w:rsidRPr="00B57103">
        <w:t xml:space="preserve">tandaard </w:t>
      </w:r>
      <w:r w:rsidR="00244A3B">
        <w:t xml:space="preserve">700 </w:t>
      </w:r>
      <w:r>
        <w:t xml:space="preserve">wel of niet </w:t>
      </w:r>
      <w:r w:rsidR="00DC2F71" w:rsidRPr="00B57103">
        <w:t xml:space="preserve">aanpassing behoeft en het NBA bestuur dienaangaande adviseren. </w:t>
      </w:r>
    </w:p>
    <w:p w14:paraId="11C8F73A" w14:textId="77777777" w:rsidR="000334D6" w:rsidRDefault="000334D6" w:rsidP="00D578E6">
      <w:pPr>
        <w:pStyle w:val="Geenafstand"/>
      </w:pPr>
    </w:p>
    <w:p w14:paraId="54055966" w14:textId="2672EACD" w:rsidR="00BD1EED" w:rsidRPr="004102A1" w:rsidRDefault="00BD1EED" w:rsidP="00D578E6">
      <w:pPr>
        <w:pStyle w:val="Geenafstand"/>
        <w:numPr>
          <w:ilvl w:val="0"/>
          <w:numId w:val="24"/>
        </w:numPr>
        <w:rPr>
          <w:b/>
          <w:bCs/>
        </w:rPr>
      </w:pPr>
      <w:r>
        <w:rPr>
          <w:b/>
          <w:bCs/>
        </w:rPr>
        <w:t>Beoogde i</w:t>
      </w:r>
      <w:r w:rsidRPr="004102A1">
        <w:rPr>
          <w:b/>
          <w:bCs/>
        </w:rPr>
        <w:t>mpact analyse</w:t>
      </w:r>
      <w:r>
        <w:rPr>
          <w:b/>
          <w:bCs/>
        </w:rPr>
        <w:t xml:space="preserve"> / eindresultaat van de evaluatie</w:t>
      </w:r>
    </w:p>
    <w:p w14:paraId="7308189D" w14:textId="5470F167" w:rsidR="00BD1EED" w:rsidRPr="00B57103" w:rsidRDefault="00BD1EED" w:rsidP="00D578E6">
      <w:pPr>
        <w:pStyle w:val="Geenafstand"/>
      </w:pPr>
      <w:r w:rsidRPr="00B57103">
        <w:t xml:space="preserve">Met de evaluatie van </w:t>
      </w:r>
      <w:r w:rsidR="00B675EC">
        <w:t>S</w:t>
      </w:r>
      <w:r w:rsidRPr="00B57103">
        <w:t xml:space="preserve">tandaard 700 wordt op hoofdlijnen het volgende beoogd en in paragraaf 4 nader uitgewerkt: </w:t>
      </w:r>
    </w:p>
    <w:p w14:paraId="427B55B4" w14:textId="26A9DCE2" w:rsidR="00A47890" w:rsidRDefault="00A47890" w:rsidP="008A5016">
      <w:pPr>
        <w:pStyle w:val="Lijstalinea"/>
        <w:numPr>
          <w:ilvl w:val="0"/>
          <w:numId w:val="13"/>
        </w:numPr>
      </w:pPr>
      <w:r>
        <w:t>In hoeverre zijn de oorspronkelijke doelstellingen (verkleinen verwachtingskloof en bevorderen transparantie) uit 2021 behorend bij het aanpassen van Standaard 700 gerealiseerd?</w:t>
      </w:r>
      <w:r w:rsidR="00A54751">
        <w:t xml:space="preserve"> </w:t>
      </w:r>
      <w:r>
        <w:t>Om hierop antwoord te kunnen geven zal onderdeel van de evaluatie zijn een reflectie op:</w:t>
      </w:r>
    </w:p>
    <w:p w14:paraId="00397EFA" w14:textId="34E7CD6C" w:rsidR="00BD1EED" w:rsidRDefault="00BD1EED" w:rsidP="00D578E6">
      <w:pPr>
        <w:pStyle w:val="Geenafstand"/>
        <w:numPr>
          <w:ilvl w:val="1"/>
          <w:numId w:val="13"/>
        </w:numPr>
      </w:pPr>
      <w:r>
        <w:t>wat met de aanpassing van Standaard 700.29 beoogd was voor gebruikers / acco</w:t>
      </w:r>
      <w:r w:rsidR="007F1A12">
        <w:t>u</w:t>
      </w:r>
      <w:r>
        <w:t>ntants</w:t>
      </w:r>
      <w:r w:rsidR="007F1A12">
        <w:t>;</w:t>
      </w:r>
    </w:p>
    <w:p w14:paraId="6A4AF017" w14:textId="0BE9E505" w:rsidR="00BD1EED" w:rsidRDefault="00BD1EED" w:rsidP="00D578E6">
      <w:pPr>
        <w:pStyle w:val="Geenafstand"/>
        <w:numPr>
          <w:ilvl w:val="1"/>
          <w:numId w:val="13"/>
        </w:numPr>
      </w:pPr>
      <w:r>
        <w:t xml:space="preserve">wat in de aangepaste </w:t>
      </w:r>
      <w:r w:rsidR="00B675EC">
        <w:t>S</w:t>
      </w:r>
      <w:r>
        <w:t>tandaard wel of niet duidelijk is (voor de accountants)</w:t>
      </w:r>
      <w:r w:rsidR="007F1A12">
        <w:t>;</w:t>
      </w:r>
    </w:p>
    <w:p w14:paraId="18A53A25" w14:textId="20ABAE0B" w:rsidR="00BD1EED" w:rsidRDefault="00BD1EED" w:rsidP="00D578E6">
      <w:pPr>
        <w:pStyle w:val="Geenafstand"/>
        <w:numPr>
          <w:ilvl w:val="1"/>
          <w:numId w:val="13"/>
        </w:numPr>
      </w:pPr>
      <w:r>
        <w:lastRenderedPageBreak/>
        <w:t>wat waarom en wanneer wel / niet is toegepast / gerealiseerd</w:t>
      </w:r>
      <w:r w:rsidR="007F1A12">
        <w:t>;</w:t>
      </w:r>
    </w:p>
    <w:p w14:paraId="16120E6D" w14:textId="483F03BC" w:rsidR="002D0C2C" w:rsidRDefault="002A603C" w:rsidP="002C75D4">
      <w:pPr>
        <w:pStyle w:val="Geenafstand"/>
        <w:numPr>
          <w:ilvl w:val="1"/>
          <w:numId w:val="13"/>
        </w:numPr>
      </w:pPr>
      <w:r>
        <w:t xml:space="preserve">wordt de rapportageverplichting </w:t>
      </w:r>
      <w:proofErr w:type="spellStart"/>
      <w:r>
        <w:t>klantspecifiek</w:t>
      </w:r>
      <w:proofErr w:type="spellEnd"/>
      <w:r>
        <w:t xml:space="preserve"> toegepast c.q. hoe is de </w:t>
      </w:r>
      <w:r w:rsidR="007F1A12">
        <w:t xml:space="preserve">toepassing van </w:t>
      </w:r>
      <w:r w:rsidR="002D0C2C">
        <w:t xml:space="preserve">standaard </w:t>
      </w:r>
      <w:r>
        <w:t>en/of</w:t>
      </w:r>
      <w:r w:rsidR="002D0C2C">
        <w:t xml:space="preserve"> </w:t>
      </w:r>
      <w:proofErr w:type="spellStart"/>
      <w:r w:rsidR="002D0C2C">
        <w:t>boilerplate</w:t>
      </w:r>
      <w:proofErr w:type="spellEnd"/>
      <w:r w:rsidR="002D0C2C">
        <w:t xml:space="preserve"> teksten;</w:t>
      </w:r>
    </w:p>
    <w:p w14:paraId="16A0C714" w14:textId="2E4B9666" w:rsidR="007F1A12" w:rsidRDefault="002D0C2C" w:rsidP="00D578E6">
      <w:pPr>
        <w:pStyle w:val="Lijstalinea"/>
        <w:numPr>
          <w:ilvl w:val="1"/>
          <w:numId w:val="13"/>
        </w:numPr>
      </w:pPr>
      <w:r>
        <w:t xml:space="preserve">toepassing van </w:t>
      </w:r>
      <w:r w:rsidR="007F1A12">
        <w:t>secties in combinatie met kernpunten;</w:t>
      </w:r>
    </w:p>
    <w:p w14:paraId="61F5FCCF" w14:textId="017E34DC" w:rsidR="00A47890" w:rsidRDefault="004758C9" w:rsidP="00D578E6">
      <w:pPr>
        <w:pStyle w:val="Lijstalinea"/>
        <w:numPr>
          <w:ilvl w:val="1"/>
          <w:numId w:val="13"/>
        </w:numPr>
      </w:pPr>
      <w:r>
        <w:t xml:space="preserve">hoe (uitgebreid) </w:t>
      </w:r>
      <w:r w:rsidR="00A47890" w:rsidRPr="00840C5C">
        <w:t>accountants rapporteren over waarnemingen en observaties van fraude</w:t>
      </w:r>
      <w:r w:rsidR="007F1A12">
        <w:t>;</w:t>
      </w:r>
    </w:p>
    <w:p w14:paraId="6AAEFE28" w14:textId="4DF5A3E5" w:rsidR="00A47890" w:rsidRDefault="00A47890" w:rsidP="00D578E6">
      <w:pPr>
        <w:pStyle w:val="Lijstalinea"/>
        <w:numPr>
          <w:ilvl w:val="1"/>
          <w:numId w:val="13"/>
        </w:numPr>
      </w:pPr>
      <w:r>
        <w:t>de effecten op de administratieve lasten voor accountants, vooral in het mkb</w:t>
      </w:r>
      <w:r w:rsidR="00863A87">
        <w:t xml:space="preserve"> en in het kader van </w:t>
      </w:r>
      <w:r w:rsidR="00B62FF7">
        <w:t xml:space="preserve">internationale </w:t>
      </w:r>
      <w:r w:rsidR="00863A87">
        <w:t>gr</w:t>
      </w:r>
      <w:r w:rsidR="00B62FF7">
        <w:t>oeps</w:t>
      </w:r>
      <w:r w:rsidR="00863A87">
        <w:t>audits</w:t>
      </w:r>
      <w:r w:rsidR="007F1A12">
        <w:t>;</w:t>
      </w:r>
    </w:p>
    <w:p w14:paraId="15B461B4" w14:textId="3B7E9831" w:rsidR="00BD1EED" w:rsidRDefault="00BD1EED" w:rsidP="00D578E6">
      <w:pPr>
        <w:pStyle w:val="Geenafstand"/>
        <w:numPr>
          <w:ilvl w:val="1"/>
          <w:numId w:val="13"/>
        </w:numPr>
      </w:pPr>
      <w:r>
        <w:t xml:space="preserve">de </w:t>
      </w:r>
      <w:r w:rsidR="00123BFE">
        <w:t xml:space="preserve">weging van de </w:t>
      </w:r>
      <w:r>
        <w:t xml:space="preserve">door gebruikers ervaren </w:t>
      </w:r>
      <w:r w:rsidR="00A47890">
        <w:t>voordelen / nadelen</w:t>
      </w:r>
      <w:r w:rsidR="00123BFE">
        <w:t xml:space="preserve"> en</w:t>
      </w:r>
      <w:r w:rsidR="00A47890">
        <w:t xml:space="preserve"> </w:t>
      </w:r>
      <w:r>
        <w:t xml:space="preserve">toegevoegde waarde </w:t>
      </w:r>
      <w:r w:rsidR="00123BFE">
        <w:t xml:space="preserve">ten opzichte van administratieve lasten voor zowel accountant als cliënt </w:t>
      </w:r>
      <w:r>
        <w:t>vanuit de Standaard 700 rapportering</w:t>
      </w:r>
      <w:r w:rsidR="00123BFE">
        <w:t>sverplichting</w:t>
      </w:r>
      <w:r w:rsidR="007F1A12">
        <w:t>;</w:t>
      </w:r>
    </w:p>
    <w:p w14:paraId="1E40743C" w14:textId="2703BA2C" w:rsidR="00203389" w:rsidRDefault="00203389" w:rsidP="00D578E6">
      <w:pPr>
        <w:pStyle w:val="Lijstalinea"/>
        <w:numPr>
          <w:ilvl w:val="1"/>
          <w:numId w:val="13"/>
        </w:numPr>
      </w:pPr>
      <w:r>
        <w:t xml:space="preserve">hoe </w:t>
      </w:r>
      <w:r w:rsidRPr="00DB6CEE">
        <w:t xml:space="preserve">de </w:t>
      </w:r>
      <w:r w:rsidR="00B57103">
        <w:t>N</w:t>
      </w:r>
      <w:r>
        <w:t xml:space="preserve">ederlandse </w:t>
      </w:r>
      <w:r w:rsidR="00B675EC">
        <w:t>S</w:t>
      </w:r>
      <w:r>
        <w:t>tandaard</w:t>
      </w:r>
      <w:r w:rsidRPr="00DB6CEE">
        <w:t xml:space="preserve"> zich </w:t>
      </w:r>
      <w:r>
        <w:t xml:space="preserve">verhoudt </w:t>
      </w:r>
      <w:r w:rsidRPr="00DB6CEE">
        <w:t xml:space="preserve">tot </w:t>
      </w:r>
      <w:r>
        <w:t xml:space="preserve">de </w:t>
      </w:r>
      <w:r w:rsidRPr="00DB6CEE">
        <w:t xml:space="preserve">internationale standaarden en </w:t>
      </w:r>
      <w:r>
        <w:t xml:space="preserve">internationale </w:t>
      </w:r>
      <w:r w:rsidRPr="00DB6CEE">
        <w:t xml:space="preserve">best </w:t>
      </w:r>
      <w:proofErr w:type="spellStart"/>
      <w:r w:rsidRPr="00DB6CEE">
        <w:t>practices</w:t>
      </w:r>
      <w:proofErr w:type="spellEnd"/>
      <w:r w:rsidR="007F1A12">
        <w:t>;</w:t>
      </w:r>
    </w:p>
    <w:p w14:paraId="55050F44" w14:textId="1E65BC07" w:rsidR="00BD0BA0" w:rsidRDefault="004A2E93" w:rsidP="00D578E6">
      <w:pPr>
        <w:pStyle w:val="Geenafstand"/>
        <w:numPr>
          <w:ilvl w:val="0"/>
          <w:numId w:val="13"/>
        </w:numPr>
      </w:pPr>
      <w:r>
        <w:t xml:space="preserve">Leveren </w:t>
      </w:r>
      <w:r w:rsidR="00BD0BA0">
        <w:t xml:space="preserve">de verplichte secties </w:t>
      </w:r>
      <w:r>
        <w:t xml:space="preserve">voor </w:t>
      </w:r>
      <w:r w:rsidR="00BD0BA0">
        <w:t xml:space="preserve">de gebruikers </w:t>
      </w:r>
      <w:r>
        <w:t>de voor hen relevante informatie op waar we ze vanuit transpara</w:t>
      </w:r>
      <w:r w:rsidR="001A6897">
        <w:t>n</w:t>
      </w:r>
      <w:r>
        <w:t xml:space="preserve">tie op willen wijzen? </w:t>
      </w:r>
    </w:p>
    <w:p w14:paraId="58950051" w14:textId="6DCADB99" w:rsidR="00203389" w:rsidRDefault="6308320D" w:rsidP="00D578E6">
      <w:pPr>
        <w:pStyle w:val="Geenafstand"/>
        <w:numPr>
          <w:ilvl w:val="0"/>
          <w:numId w:val="13"/>
        </w:numPr>
      </w:pPr>
      <w:r>
        <w:t xml:space="preserve">Heroverwegen van </w:t>
      </w:r>
      <w:r w:rsidR="326310A9">
        <w:t>destijds</w:t>
      </w:r>
      <w:r>
        <w:t xml:space="preserve"> gemaakte keuze</w:t>
      </w:r>
      <w:r w:rsidR="335C0E1A">
        <w:t>s</w:t>
      </w:r>
      <w:r>
        <w:t xml:space="preserve"> (bijv.</w:t>
      </w:r>
      <w:r w:rsidR="326310A9">
        <w:t xml:space="preserve"> de</w:t>
      </w:r>
      <w:r>
        <w:t xml:space="preserve"> </w:t>
      </w:r>
      <w:r w:rsidR="326310A9">
        <w:t>‘kan’ bepaling inzake de elementen in de A-paragraaf</w:t>
      </w:r>
      <w:r w:rsidR="00802523">
        <w:t xml:space="preserve"> met specifieke aandacht voor waarnemingen en observaties</w:t>
      </w:r>
      <w:r w:rsidR="326310A9">
        <w:t xml:space="preserve">, </w:t>
      </w:r>
      <w:r w:rsidR="584871E2">
        <w:t>altijd</w:t>
      </w:r>
      <w:r w:rsidR="326310A9">
        <w:t xml:space="preserve"> over alle</w:t>
      </w:r>
      <w:r>
        <w:t xml:space="preserve"> risico’s rapporteren, </w:t>
      </w:r>
      <w:r w:rsidR="326310A9">
        <w:t xml:space="preserve">toepassing proportionaliteit door </w:t>
      </w:r>
      <w:r>
        <w:t xml:space="preserve">verkort </w:t>
      </w:r>
      <w:r w:rsidR="326310A9">
        <w:t>te rapporteren als geen sprake is van significante aandacht</w:t>
      </w:r>
      <w:r>
        <w:t xml:space="preserve">, </w:t>
      </w:r>
      <w:r w:rsidR="004758C9">
        <w:t xml:space="preserve">reikwijdte beperkt tot </w:t>
      </w:r>
      <w:proofErr w:type="spellStart"/>
      <w:r>
        <w:t>wta</w:t>
      </w:r>
      <w:proofErr w:type="spellEnd"/>
      <w:r>
        <w:t>-domein</w:t>
      </w:r>
      <w:r w:rsidR="326310A9">
        <w:t xml:space="preserve">, </w:t>
      </w:r>
      <w:r w:rsidR="004758C9">
        <w:t xml:space="preserve">toepassing in het kader van </w:t>
      </w:r>
      <w:r w:rsidR="00221522">
        <w:t>S</w:t>
      </w:r>
      <w:r w:rsidR="5AEA6607">
        <w:t xml:space="preserve">tandaard 250, </w:t>
      </w:r>
      <w:r w:rsidR="326310A9">
        <w:t xml:space="preserve">uitzondering bepaalde </w:t>
      </w:r>
      <w:r>
        <w:t>sectoren</w:t>
      </w:r>
      <w:r w:rsidR="39EFA014">
        <w:t xml:space="preserve">, </w:t>
      </w:r>
      <w:r w:rsidR="5E21A625">
        <w:t>buiten scope zijn van</w:t>
      </w:r>
      <w:r w:rsidR="39EFA014">
        <w:t xml:space="preserve"> </w:t>
      </w:r>
      <w:r w:rsidR="02056B21">
        <w:t xml:space="preserve">entiteiten </w:t>
      </w:r>
      <w:r w:rsidR="0F1E1A7B">
        <w:t xml:space="preserve">opgericht </w:t>
      </w:r>
      <w:r w:rsidR="1C830C8F">
        <w:t>voor bepaalde tijd (conform RJ 1</w:t>
      </w:r>
      <w:r w:rsidR="082E9DBF">
        <w:t>7</w:t>
      </w:r>
      <w:r w:rsidR="1C830C8F">
        <w:t>0.10</w:t>
      </w:r>
      <w:r w:rsidR="021B2192">
        <w:t>4</w:t>
      </w:r>
      <w:r>
        <w:t>)</w:t>
      </w:r>
      <w:r w:rsidR="008A5016">
        <w:t>)</w:t>
      </w:r>
      <w:r>
        <w:t>.</w:t>
      </w:r>
    </w:p>
    <w:p w14:paraId="0E6AEF55" w14:textId="30B97CA3" w:rsidR="00BD1EED" w:rsidRDefault="00BD1EED" w:rsidP="00D578E6">
      <w:pPr>
        <w:pStyle w:val="Geenafstand"/>
        <w:numPr>
          <w:ilvl w:val="0"/>
          <w:numId w:val="13"/>
        </w:numPr>
      </w:pPr>
      <w:r>
        <w:t>Analyse van onduidelijkheden, voordelen / nadelen, goede en slechte punten</w:t>
      </w:r>
      <w:r w:rsidR="009934C5">
        <w:t xml:space="preserve"> en overwegen van </w:t>
      </w:r>
      <w:r w:rsidR="000336C7">
        <w:t>aanpassingen</w:t>
      </w:r>
      <w:r>
        <w:t>.</w:t>
      </w:r>
    </w:p>
    <w:p w14:paraId="7930F7B7" w14:textId="2710974D" w:rsidR="0001243C" w:rsidRDefault="0001243C" w:rsidP="0001243C">
      <w:pPr>
        <w:pStyle w:val="Geenafstand"/>
        <w:numPr>
          <w:ilvl w:val="0"/>
          <w:numId w:val="13"/>
        </w:numPr>
      </w:pPr>
      <w:r>
        <w:t>Anticiperen op internationale ontwikkelingen ten aanzien van transparantie / rapportering over uitkomsten van de controle (ISA 240 / 570 – voorsorteren op 2027).</w:t>
      </w:r>
    </w:p>
    <w:p w14:paraId="5270B48F" w14:textId="77777777" w:rsidR="00092059" w:rsidRDefault="00092059" w:rsidP="00D578E6">
      <w:pPr>
        <w:pStyle w:val="Geenafstand"/>
      </w:pPr>
    </w:p>
    <w:p w14:paraId="41451A09" w14:textId="58209BF0" w:rsidR="008658F1" w:rsidRDefault="00092059" w:rsidP="008658F1">
      <w:pPr>
        <w:pStyle w:val="Geenafstand"/>
      </w:pPr>
      <w:r>
        <w:t>Bij het opstellen van de vragenlijsten en afstemming met stakeholders (gebruikers, opstellers, accountants) zullen we ook de uitkomsten van de analyses van de controleverklaringen 2021 en 2022 gebruiken. Tegelijk met het uitzetten van de vragenlijsten zullen we een analyse uitvoeren van de controleverklaringen 2023 met specifieke focus op de onderwerpen die in de evaluatie aan de orde komen</w:t>
      </w:r>
      <w:r w:rsidR="005812BD">
        <w:t xml:space="preserve"> en de ontwikkelingen vanaf het moment van de implementatie in 2021</w:t>
      </w:r>
      <w:r>
        <w:t xml:space="preserve">. </w:t>
      </w:r>
      <w:r w:rsidR="008658F1">
        <w:t xml:space="preserve">In de vragenlijsten besteden we ook aandacht aan het effect voor de opstellers van de jaarrekeningen; heeft de rapportageverplichting voor accountants geleid tot andere gesprekken met en meer focus van het bestuur en </w:t>
      </w:r>
      <w:proofErr w:type="spellStart"/>
      <w:r w:rsidR="008658F1">
        <w:t>those</w:t>
      </w:r>
      <w:proofErr w:type="spellEnd"/>
      <w:r w:rsidR="008658F1">
        <w:t xml:space="preserve"> </w:t>
      </w:r>
      <w:proofErr w:type="spellStart"/>
      <w:r w:rsidR="008658F1">
        <w:t>charged</w:t>
      </w:r>
      <w:proofErr w:type="spellEnd"/>
      <w:r w:rsidR="008658F1">
        <w:t xml:space="preserve"> </w:t>
      </w:r>
      <w:proofErr w:type="spellStart"/>
      <w:r w:rsidR="008658F1">
        <w:t>with</w:t>
      </w:r>
      <w:proofErr w:type="spellEnd"/>
      <w:r w:rsidR="008658F1">
        <w:t xml:space="preserve"> </w:t>
      </w:r>
      <w:proofErr w:type="spellStart"/>
      <w:r w:rsidR="008658F1">
        <w:t>governance</w:t>
      </w:r>
      <w:proofErr w:type="spellEnd"/>
      <w:r w:rsidR="008658F1">
        <w:t xml:space="preserve"> op fraude en continuïteit en ook eigen rapportering daarover in jaarrekening en </w:t>
      </w:r>
      <w:proofErr w:type="spellStart"/>
      <w:r w:rsidR="008658F1">
        <w:t>bestuursverslag</w:t>
      </w:r>
      <w:proofErr w:type="spellEnd"/>
      <w:r w:rsidR="008658F1">
        <w:t xml:space="preserve">. </w:t>
      </w:r>
    </w:p>
    <w:p w14:paraId="28C2378F" w14:textId="77777777" w:rsidR="00F250CA" w:rsidRDefault="00F250CA" w:rsidP="00D578E6">
      <w:pPr>
        <w:pStyle w:val="Geenafstand"/>
      </w:pPr>
    </w:p>
    <w:p w14:paraId="4CB55E35" w14:textId="77777777" w:rsidR="00BD1EED" w:rsidRDefault="00BD1EED" w:rsidP="00D578E6">
      <w:pPr>
        <w:pStyle w:val="Geenafstand"/>
      </w:pPr>
      <w:r>
        <w:rPr>
          <w:i/>
          <w:iCs/>
        </w:rPr>
        <w:t>Beoogde resultaat: advisering door het CB aan NBA bestuur</w:t>
      </w:r>
    </w:p>
    <w:p w14:paraId="694E3B12" w14:textId="503FCA64" w:rsidR="00AB12E0" w:rsidRDefault="00A72116" w:rsidP="00D578E6">
      <w:pPr>
        <w:pStyle w:val="Geenafstand"/>
      </w:pPr>
      <w:r>
        <w:t xml:space="preserve">De evaluatie van </w:t>
      </w:r>
      <w:r w:rsidR="00221522">
        <w:t>S</w:t>
      </w:r>
      <w:r>
        <w:t xml:space="preserve">tandaard 700 inclusief de analyse van de controleverklaringen 2023 worden uitgevoerd onder verantwoordelijkheid van het CB </w:t>
      </w:r>
      <w:r w:rsidR="00A47890">
        <w:t xml:space="preserve">en </w:t>
      </w:r>
      <w:r>
        <w:t xml:space="preserve">het CB </w:t>
      </w:r>
      <w:r w:rsidR="00A47890">
        <w:t>stelt op basis daarvan een</w:t>
      </w:r>
      <w:r w:rsidR="00BD1EED">
        <w:t xml:space="preserve"> advies </w:t>
      </w:r>
      <w:r w:rsidR="00A47890">
        <w:t xml:space="preserve">op </w:t>
      </w:r>
      <w:r w:rsidR="00BD1EED">
        <w:t xml:space="preserve">ten behoeve van NBA bestuur </w:t>
      </w:r>
      <w:r w:rsidR="00A47890">
        <w:t xml:space="preserve">of </w:t>
      </w:r>
      <w:r w:rsidR="00244A3B">
        <w:t xml:space="preserve">de rapportageverplichting in </w:t>
      </w:r>
      <w:r w:rsidR="00221522">
        <w:t>S</w:t>
      </w:r>
      <w:r w:rsidR="00A47890">
        <w:t xml:space="preserve">tandaard </w:t>
      </w:r>
      <w:r>
        <w:t xml:space="preserve">700 </w:t>
      </w:r>
      <w:r w:rsidR="00A47890">
        <w:t xml:space="preserve">moet worden gehandhaafd </w:t>
      </w:r>
      <w:proofErr w:type="spellStart"/>
      <w:r w:rsidR="00244A3B">
        <w:t>danwel</w:t>
      </w:r>
      <w:proofErr w:type="spellEnd"/>
      <w:r w:rsidR="00A47890">
        <w:t xml:space="preserve"> / of en hoe de </w:t>
      </w:r>
      <w:r w:rsidR="00221522">
        <w:t>S</w:t>
      </w:r>
      <w:r w:rsidR="00A47890">
        <w:t>tandaard moet worden aangepast.</w:t>
      </w:r>
      <w:r w:rsidR="00AB12E0">
        <w:t xml:space="preserve"> </w:t>
      </w:r>
    </w:p>
    <w:p w14:paraId="0A8482FE" w14:textId="77777777" w:rsidR="00762871" w:rsidRDefault="00762871" w:rsidP="00D578E6">
      <w:pPr>
        <w:pStyle w:val="Geenafstand"/>
      </w:pPr>
    </w:p>
    <w:p w14:paraId="3BFC120B" w14:textId="3DE2DE0E" w:rsidR="005702F3" w:rsidRPr="009534A5" w:rsidRDefault="006537BA" w:rsidP="00D578E6">
      <w:pPr>
        <w:pStyle w:val="Lijstalinea"/>
        <w:numPr>
          <w:ilvl w:val="0"/>
          <w:numId w:val="24"/>
        </w:numPr>
        <w:autoSpaceDE w:val="0"/>
        <w:autoSpaceDN w:val="0"/>
        <w:adjustRightInd w:val="0"/>
        <w:rPr>
          <w:rStyle w:val="Intensievebenadrukking"/>
          <w:rFonts w:eastAsia="Calibri" w:cs="Times New Roman"/>
          <w:i w:val="0"/>
          <w:iCs w:val="0"/>
          <w:color w:val="auto"/>
          <w14:ligatures w14:val="none"/>
        </w:rPr>
      </w:pPr>
      <w:r w:rsidRPr="009534A5">
        <w:rPr>
          <w:rStyle w:val="Intensievebenadrukking"/>
          <w:i w:val="0"/>
          <w:iCs w:val="0"/>
          <w:color w:val="auto"/>
        </w:rPr>
        <w:t>Scope: Te</w:t>
      </w:r>
      <w:r w:rsidR="005D4B34" w:rsidRPr="009534A5">
        <w:rPr>
          <w:rStyle w:val="Intensievebenadrukking"/>
          <w:i w:val="0"/>
          <w:iCs w:val="0"/>
          <w:color w:val="auto"/>
        </w:rPr>
        <w:t xml:space="preserve"> evalueren aanpassingen in S</w:t>
      </w:r>
      <w:r w:rsidR="00460A27" w:rsidRPr="009534A5">
        <w:rPr>
          <w:rStyle w:val="Intensievebenadrukking"/>
          <w:i w:val="0"/>
          <w:iCs w:val="0"/>
          <w:color w:val="auto"/>
        </w:rPr>
        <w:t>tandaard 700</w:t>
      </w:r>
    </w:p>
    <w:p w14:paraId="7C8CC59B" w14:textId="3A444222" w:rsidR="008E5D14" w:rsidRDefault="000B03A6" w:rsidP="00D578E6">
      <w:pPr>
        <w:pStyle w:val="Geenafstand"/>
      </w:pPr>
      <w:r>
        <w:t>De aanpassing van Standaard 700 heeft</w:t>
      </w:r>
      <w:r w:rsidR="00244A3B">
        <w:t xml:space="preserve"> </w:t>
      </w:r>
      <w:r>
        <w:t xml:space="preserve">geleid tot </w:t>
      </w:r>
      <w:r w:rsidR="00461A87">
        <w:t>verplichte secties ‘Controleaanpak continuïteit</w:t>
      </w:r>
      <w:r w:rsidR="00802523">
        <w:t>’</w:t>
      </w:r>
      <w:r w:rsidR="00461A87">
        <w:t xml:space="preserve"> en ‘Controleaanpak frauderisico’s’ in de controleverklaring</w:t>
      </w:r>
      <w:r>
        <w:t xml:space="preserve">. Hierin </w:t>
      </w:r>
      <w:r w:rsidR="00461A87">
        <w:t xml:space="preserve">beschrijft de accountant op welke wijze is ingespeeld op continuïteits- en frauderisico’s. </w:t>
      </w:r>
    </w:p>
    <w:p w14:paraId="081A1228" w14:textId="77777777" w:rsidR="008E5D14" w:rsidRDefault="008E5D14" w:rsidP="00D578E6">
      <w:pPr>
        <w:pStyle w:val="Geenafstand"/>
      </w:pPr>
    </w:p>
    <w:p w14:paraId="46724AA4" w14:textId="67A9EA17" w:rsidR="00DE1659" w:rsidRDefault="01987A0A" w:rsidP="00D578E6">
      <w:pPr>
        <w:pStyle w:val="Geenafstand"/>
      </w:pPr>
      <w:r>
        <w:t>Do</w:t>
      </w:r>
      <w:r w:rsidR="7E81A591">
        <w:t xml:space="preserve">or het NBA </w:t>
      </w:r>
      <w:r w:rsidR="5BB4408C">
        <w:t xml:space="preserve">bestuur </w:t>
      </w:r>
      <w:r>
        <w:t xml:space="preserve">zijn hierbij </w:t>
      </w:r>
      <w:r w:rsidR="5BB4408C">
        <w:t xml:space="preserve">– vanuit CB advies - </w:t>
      </w:r>
      <w:r w:rsidR="7E81A591">
        <w:t>keuze</w:t>
      </w:r>
      <w:r>
        <w:t>s</w:t>
      </w:r>
      <w:r w:rsidR="7E81A591">
        <w:t xml:space="preserve"> gemaakt</w:t>
      </w:r>
      <w:r>
        <w:t xml:space="preserve"> die leiden tot een </w:t>
      </w:r>
      <w:r w:rsidR="1FF2B869">
        <w:t>bepaalde</w:t>
      </w:r>
      <w:r>
        <w:t xml:space="preserve"> mate van vrijheid bij het toepassen van de rapporteringsverplichting</w:t>
      </w:r>
      <w:r w:rsidR="0663C2D8">
        <w:t xml:space="preserve">. </w:t>
      </w:r>
      <w:r w:rsidR="651FF9B1">
        <w:t>Voor de evaluatie van de effectiviteit van het verplicht rapporteren over fraude en continuïteit hanteren we een brede / open insteek</w:t>
      </w:r>
      <w:r w:rsidR="4A1170F4">
        <w:t>. Aandachtspunten zijn onder meer:</w:t>
      </w:r>
    </w:p>
    <w:p w14:paraId="0E94965C" w14:textId="33E999F4" w:rsidR="00DE1659" w:rsidRDefault="00DE1659" w:rsidP="00D578E6">
      <w:pPr>
        <w:pStyle w:val="Geenafstand"/>
        <w:numPr>
          <w:ilvl w:val="0"/>
          <w:numId w:val="25"/>
        </w:numPr>
        <w:ind w:left="360"/>
      </w:pPr>
      <w:r>
        <w:t>H</w:t>
      </w:r>
      <w:r w:rsidRPr="00DE1659">
        <w:t xml:space="preserve">oe duidelijk is de </w:t>
      </w:r>
      <w:r w:rsidR="00221522">
        <w:t>S</w:t>
      </w:r>
      <w:r w:rsidRPr="00DE1659">
        <w:t>tandaard?</w:t>
      </w:r>
    </w:p>
    <w:p w14:paraId="75590516" w14:textId="23C3FE5C" w:rsidR="00DE1659" w:rsidRPr="00DE1659" w:rsidRDefault="00DE1659" w:rsidP="00D578E6">
      <w:pPr>
        <w:pStyle w:val="Geenafstand"/>
        <w:numPr>
          <w:ilvl w:val="0"/>
          <w:numId w:val="25"/>
        </w:numPr>
        <w:ind w:left="360"/>
      </w:pPr>
      <w:r>
        <w:t>W</w:t>
      </w:r>
      <w:r w:rsidRPr="00DE1659">
        <w:t>elke dilemma</w:t>
      </w:r>
      <w:r w:rsidR="00B62FF7">
        <w:t>’</w:t>
      </w:r>
      <w:r w:rsidRPr="00DE1659">
        <w:t xml:space="preserve">s komt u tegen bij toepassing van de </w:t>
      </w:r>
      <w:r w:rsidR="00221522">
        <w:t>S</w:t>
      </w:r>
      <w:r w:rsidRPr="00DE1659">
        <w:t>tandaard?</w:t>
      </w:r>
    </w:p>
    <w:p w14:paraId="732509A3" w14:textId="3101C54C" w:rsidR="00DE1659" w:rsidRPr="00DE1659" w:rsidRDefault="00DE1659" w:rsidP="00D578E6">
      <w:pPr>
        <w:pStyle w:val="Geenafstand"/>
        <w:numPr>
          <w:ilvl w:val="0"/>
          <w:numId w:val="25"/>
        </w:numPr>
        <w:ind w:left="360"/>
      </w:pPr>
      <w:r>
        <w:lastRenderedPageBreak/>
        <w:t>W</w:t>
      </w:r>
      <w:r w:rsidRPr="00DE1659">
        <w:t xml:space="preserve">elke toegevoegde waarde heeft u ervaren bij het toepassen van de </w:t>
      </w:r>
      <w:r w:rsidR="00221522">
        <w:t>S</w:t>
      </w:r>
      <w:r w:rsidRPr="00DE1659">
        <w:t>tandaard?</w:t>
      </w:r>
    </w:p>
    <w:p w14:paraId="6EEF9ABD" w14:textId="1B0D32AD" w:rsidR="00DE1659" w:rsidRPr="00DE1659" w:rsidRDefault="00DE1659" w:rsidP="00D578E6">
      <w:pPr>
        <w:pStyle w:val="Geenafstand"/>
        <w:numPr>
          <w:ilvl w:val="0"/>
          <w:numId w:val="25"/>
        </w:numPr>
        <w:ind w:left="360"/>
      </w:pPr>
      <w:r>
        <w:t>W</w:t>
      </w:r>
      <w:r w:rsidRPr="00DE1659">
        <w:t xml:space="preserve">elke voordelen </w:t>
      </w:r>
      <w:r w:rsidR="00802523">
        <w:t xml:space="preserve">en nadelen </w:t>
      </w:r>
      <w:r w:rsidRPr="00DE1659">
        <w:t xml:space="preserve">heeft u ervaren bij het toepassen van deze </w:t>
      </w:r>
      <w:r w:rsidR="00221522">
        <w:t>S</w:t>
      </w:r>
      <w:r w:rsidRPr="00DE1659">
        <w:t>tandaard?</w:t>
      </w:r>
    </w:p>
    <w:p w14:paraId="3AC62006" w14:textId="1B05D368" w:rsidR="00DE1659" w:rsidRPr="00DE1659" w:rsidRDefault="4A1170F4" w:rsidP="00D578E6">
      <w:pPr>
        <w:pStyle w:val="Geenafstand"/>
        <w:numPr>
          <w:ilvl w:val="0"/>
          <w:numId w:val="25"/>
        </w:numPr>
        <w:ind w:left="360"/>
      </w:pPr>
      <w:r>
        <w:t xml:space="preserve">Welke voordelen </w:t>
      </w:r>
      <w:r w:rsidR="00802523">
        <w:t xml:space="preserve">en nadelen </w:t>
      </w:r>
      <w:r>
        <w:t xml:space="preserve">heeft u als gebruiker van controleverklaringen ervaren? </w:t>
      </w:r>
    </w:p>
    <w:p w14:paraId="7CADCC61" w14:textId="0C09E248" w:rsidR="00DE1659" w:rsidRDefault="00DE1659" w:rsidP="00D578E6">
      <w:pPr>
        <w:pStyle w:val="Geenafstand"/>
        <w:numPr>
          <w:ilvl w:val="0"/>
          <w:numId w:val="25"/>
        </w:numPr>
        <w:ind w:left="360"/>
      </w:pPr>
      <w:r>
        <w:t>W</w:t>
      </w:r>
      <w:r w:rsidRPr="00DE1659">
        <w:t xml:space="preserve">elke zaken mist u in de </w:t>
      </w:r>
      <w:r w:rsidR="0001243C">
        <w:t>S</w:t>
      </w:r>
      <w:r w:rsidRPr="00DE1659">
        <w:t>tandaard</w:t>
      </w:r>
      <w:r w:rsidR="004758C9">
        <w:t xml:space="preserve"> of in de tekst van de controleverklaring</w:t>
      </w:r>
      <w:r w:rsidRPr="00DE1659">
        <w:t>?</w:t>
      </w:r>
    </w:p>
    <w:p w14:paraId="0A27AD78" w14:textId="4F700126" w:rsidR="00DE1659" w:rsidRDefault="00DE1659" w:rsidP="00D578E6">
      <w:pPr>
        <w:pStyle w:val="Geenafstand"/>
        <w:numPr>
          <w:ilvl w:val="0"/>
          <w:numId w:val="25"/>
        </w:numPr>
        <w:ind w:left="360"/>
      </w:pPr>
      <w:r w:rsidRPr="00DE1659">
        <w:t xml:space="preserve">Waartoe heeft de </w:t>
      </w:r>
      <w:r>
        <w:t xml:space="preserve">toepassing van de aangepaste </w:t>
      </w:r>
      <w:r w:rsidR="00221522">
        <w:t>S</w:t>
      </w:r>
      <w:r w:rsidRPr="00DE1659">
        <w:t xml:space="preserve">tandaard </w:t>
      </w:r>
      <w:r>
        <w:t xml:space="preserve">700 </w:t>
      </w:r>
      <w:r w:rsidRPr="00DE1659">
        <w:t xml:space="preserve">geleid? </w:t>
      </w:r>
    </w:p>
    <w:p w14:paraId="3AC1105F" w14:textId="7D4F5C3E" w:rsidR="00DE1659" w:rsidRDefault="00DE1659" w:rsidP="00244A3B">
      <w:pPr>
        <w:pStyle w:val="Geenafstand"/>
        <w:numPr>
          <w:ilvl w:val="1"/>
          <w:numId w:val="25"/>
        </w:numPr>
      </w:pPr>
      <w:r>
        <w:t>Voor accountants</w:t>
      </w:r>
    </w:p>
    <w:p w14:paraId="5E7CD99B" w14:textId="49D77022" w:rsidR="00DE1659" w:rsidRDefault="00DE1659" w:rsidP="00244A3B">
      <w:pPr>
        <w:pStyle w:val="Geenafstand"/>
        <w:numPr>
          <w:ilvl w:val="1"/>
          <w:numId w:val="25"/>
        </w:numPr>
      </w:pPr>
      <w:r>
        <w:t>Voor gebruikers van controleverklaringen</w:t>
      </w:r>
    </w:p>
    <w:p w14:paraId="29777D2E" w14:textId="224E2D22" w:rsidR="00DE1659" w:rsidRDefault="00DE1659" w:rsidP="00244A3B">
      <w:pPr>
        <w:pStyle w:val="Geenafstand"/>
        <w:numPr>
          <w:ilvl w:val="1"/>
          <w:numId w:val="25"/>
        </w:numPr>
      </w:pPr>
      <w:r>
        <w:t>Voor entiteiten</w:t>
      </w:r>
    </w:p>
    <w:p w14:paraId="2EFCE8F0" w14:textId="1C84B2E1" w:rsidR="00DE1659" w:rsidRDefault="00261A07" w:rsidP="00D578E6">
      <w:pPr>
        <w:pStyle w:val="Geenafstand"/>
        <w:numPr>
          <w:ilvl w:val="0"/>
          <w:numId w:val="25"/>
        </w:numPr>
        <w:ind w:left="360"/>
      </w:pPr>
      <w:r>
        <w:t>Is</w:t>
      </w:r>
      <w:r w:rsidR="4A1170F4">
        <w:t xml:space="preserve"> de </w:t>
      </w:r>
      <w:r w:rsidR="61B4B581">
        <w:t xml:space="preserve">rapportageverplichting in </w:t>
      </w:r>
      <w:r w:rsidR="0B952D7F">
        <w:t>S</w:t>
      </w:r>
      <w:r w:rsidR="4A1170F4">
        <w:t xml:space="preserve">tandaard </w:t>
      </w:r>
      <w:r w:rsidR="61B4B581">
        <w:t xml:space="preserve">700 </w:t>
      </w:r>
      <w:r w:rsidR="4A1170F4">
        <w:t xml:space="preserve">in de praktijk </w:t>
      </w:r>
      <w:r>
        <w:t xml:space="preserve">wel / niet effectief </w:t>
      </w:r>
      <w:r w:rsidR="4A1170F4">
        <w:t>geweest</w:t>
      </w:r>
      <w:r>
        <w:t xml:space="preserve"> (wat heeft het opgeleverd aan beoogde transparantie alsook in verhouding tot de extra inspanningen / kosten voor accountant en cliënt)</w:t>
      </w:r>
      <w:r w:rsidR="4A1170F4">
        <w:t xml:space="preserve">? </w:t>
      </w:r>
    </w:p>
    <w:p w14:paraId="32869974" w14:textId="7F20F8FC" w:rsidR="00DE1659" w:rsidRPr="00DE1659" w:rsidRDefault="00DE1659" w:rsidP="00D578E6">
      <w:pPr>
        <w:pStyle w:val="Geenafstand"/>
        <w:numPr>
          <w:ilvl w:val="0"/>
          <w:numId w:val="25"/>
        </w:numPr>
        <w:ind w:left="360"/>
      </w:pPr>
      <w:r w:rsidRPr="00DE1659">
        <w:t>Is dat in lijn met wat we vooraf hebben beoogd? Waarom wel/niet...</w:t>
      </w:r>
    </w:p>
    <w:p w14:paraId="7312D898" w14:textId="77777777" w:rsidR="00DE1659" w:rsidRDefault="00DE1659" w:rsidP="00D578E6">
      <w:pPr>
        <w:pStyle w:val="Geenafstand"/>
      </w:pPr>
    </w:p>
    <w:p w14:paraId="5BAD3DD2" w14:textId="62298CD2" w:rsidR="00B8669E" w:rsidRDefault="00DE1659" w:rsidP="00D578E6">
      <w:pPr>
        <w:pStyle w:val="Geenafstand"/>
      </w:pPr>
      <w:r>
        <w:t xml:space="preserve">Aanvullend </w:t>
      </w:r>
      <w:r w:rsidR="00463846">
        <w:t>zullen</w:t>
      </w:r>
      <w:r>
        <w:t xml:space="preserve"> we</w:t>
      </w:r>
      <w:r w:rsidR="00463846">
        <w:t xml:space="preserve"> ook thema’s </w:t>
      </w:r>
      <w:r>
        <w:t>meenemen</w:t>
      </w:r>
      <w:r w:rsidR="00463846">
        <w:t xml:space="preserve"> die mede uit de analyses van de controleverklaringen 2021 en 2022 aan de orde </w:t>
      </w:r>
      <w:r>
        <w:t>zijn gekomen</w:t>
      </w:r>
      <w:r w:rsidR="00463846">
        <w:t xml:space="preserve">.  </w:t>
      </w:r>
      <w:r w:rsidR="00397B38">
        <w:t xml:space="preserve">Dit betreft </w:t>
      </w:r>
      <w:r w:rsidR="00463846">
        <w:t>onde</w:t>
      </w:r>
      <w:r>
        <w:t xml:space="preserve">r </w:t>
      </w:r>
      <w:r w:rsidR="00463846">
        <w:t xml:space="preserve">meer </w:t>
      </w:r>
      <w:r w:rsidR="00397B38">
        <w:t>de volgende as</w:t>
      </w:r>
      <w:r w:rsidR="00D77441">
        <w:t>pecten</w:t>
      </w:r>
      <w:r w:rsidR="00B62FF7">
        <w:t>:</w:t>
      </w:r>
    </w:p>
    <w:p w14:paraId="7E62F946" w14:textId="77777777" w:rsidR="00D77441" w:rsidRDefault="00D77441" w:rsidP="00D578E6">
      <w:pPr>
        <w:pStyle w:val="Geenafstand"/>
      </w:pPr>
    </w:p>
    <w:p w14:paraId="6A04A9C1" w14:textId="1C424A45" w:rsidR="00D77441" w:rsidRPr="00B57103" w:rsidRDefault="00596E8A" w:rsidP="00D578E6">
      <w:pPr>
        <w:pStyle w:val="Geenafstand"/>
        <w:rPr>
          <w:rFonts w:ascii="f1k1ujbb-14gi-eay-1kwo6vgaau9pf" w:eastAsiaTheme="minorEastAsia" w:hAnsi="f1k1ujbb-14gi-eay-1kwo6vgaau9pf" w:cs="f1k1ujbb-14gi-eay-1kwo6vgaau9pf"/>
          <w:b/>
          <w:bCs/>
          <w:i/>
          <w:iCs/>
          <w:sz w:val="21"/>
          <w:szCs w:val="21"/>
        </w:rPr>
      </w:pPr>
      <w:r w:rsidRPr="00B57103">
        <w:rPr>
          <w:rFonts w:ascii="f1k1ujbb-14gi-eay-1kwo6vgaau9pf" w:eastAsiaTheme="minorEastAsia" w:hAnsi="f1k1ujbb-14gi-eay-1kwo6vgaau9pf" w:cs="f1k1ujbb-14gi-eay-1kwo6vgaau9pf"/>
          <w:b/>
          <w:bCs/>
          <w:i/>
          <w:iCs/>
          <w:sz w:val="21"/>
          <w:szCs w:val="21"/>
        </w:rPr>
        <w:t>Rapportageverplichting u</w:t>
      </w:r>
      <w:r w:rsidR="00D047DC" w:rsidRPr="00B57103">
        <w:rPr>
          <w:rFonts w:ascii="f1k1ujbb-14gi-eay-1kwo6vgaau9pf" w:eastAsiaTheme="minorEastAsia" w:hAnsi="f1k1ujbb-14gi-eay-1kwo6vgaau9pf" w:cs="f1k1ujbb-14gi-eay-1kwo6vgaau9pf"/>
          <w:b/>
          <w:bCs/>
          <w:i/>
          <w:iCs/>
          <w:sz w:val="21"/>
          <w:szCs w:val="21"/>
        </w:rPr>
        <w:t xml:space="preserve">itbreiden of afschaffen </w:t>
      </w:r>
      <w:r w:rsidR="00D77441" w:rsidRPr="00B57103">
        <w:rPr>
          <w:rFonts w:ascii="f1k1ujbb-14gi-eay-1kwo6vgaau9pf" w:eastAsiaTheme="minorEastAsia" w:hAnsi="f1k1ujbb-14gi-eay-1kwo6vgaau9pf" w:cs="f1k1ujbb-14gi-eay-1kwo6vgaau9pf"/>
          <w:b/>
          <w:bCs/>
          <w:i/>
          <w:iCs/>
          <w:sz w:val="21"/>
          <w:szCs w:val="21"/>
        </w:rPr>
        <w:t>(</w:t>
      </w:r>
      <w:proofErr w:type="spellStart"/>
      <w:r w:rsidR="00D77441" w:rsidRPr="00B57103">
        <w:rPr>
          <w:rFonts w:ascii="f1k1ujbb-14gi-eay-1kwo6vgaau9pf" w:eastAsiaTheme="minorEastAsia" w:hAnsi="f1k1ujbb-14gi-eay-1kwo6vgaau9pf" w:cs="f1k1ujbb-14gi-eay-1kwo6vgaau9pf"/>
          <w:b/>
          <w:bCs/>
          <w:i/>
          <w:iCs/>
          <w:sz w:val="21"/>
          <w:szCs w:val="21"/>
        </w:rPr>
        <w:t>oob</w:t>
      </w:r>
      <w:proofErr w:type="spellEnd"/>
      <w:r w:rsidR="00D77441" w:rsidRPr="00B57103">
        <w:rPr>
          <w:rFonts w:ascii="f1k1ujbb-14gi-eay-1kwo6vgaau9pf" w:eastAsiaTheme="minorEastAsia" w:hAnsi="f1k1ujbb-14gi-eay-1kwo6vgaau9pf" w:cs="f1k1ujbb-14gi-eay-1kwo6vgaau9pf"/>
          <w:b/>
          <w:bCs/>
          <w:i/>
          <w:iCs/>
          <w:sz w:val="21"/>
          <w:szCs w:val="21"/>
        </w:rPr>
        <w:t>/</w:t>
      </w:r>
      <w:proofErr w:type="spellStart"/>
      <w:r w:rsidR="00D77441" w:rsidRPr="00B57103">
        <w:rPr>
          <w:rFonts w:ascii="f1k1ujbb-14gi-eay-1kwo6vgaau9pf" w:eastAsiaTheme="minorEastAsia" w:hAnsi="f1k1ujbb-14gi-eay-1kwo6vgaau9pf" w:cs="f1k1ujbb-14gi-eay-1kwo6vgaau9pf"/>
          <w:b/>
          <w:bCs/>
          <w:i/>
          <w:iCs/>
          <w:sz w:val="21"/>
          <w:szCs w:val="21"/>
        </w:rPr>
        <w:t>wta</w:t>
      </w:r>
      <w:proofErr w:type="spellEnd"/>
      <w:r w:rsidR="00D77441" w:rsidRPr="00B57103">
        <w:rPr>
          <w:rFonts w:ascii="f1k1ujbb-14gi-eay-1kwo6vgaau9pf" w:eastAsiaTheme="minorEastAsia" w:hAnsi="f1k1ujbb-14gi-eay-1kwo6vgaau9pf" w:cs="f1k1ujbb-14gi-eay-1kwo6vgaau9pf"/>
          <w:b/>
          <w:bCs/>
          <w:i/>
          <w:iCs/>
          <w:sz w:val="21"/>
          <w:szCs w:val="21"/>
        </w:rPr>
        <w:t>/overig</w:t>
      </w:r>
      <w:r w:rsidR="00270BDE" w:rsidRPr="00B57103">
        <w:rPr>
          <w:rFonts w:ascii="f1k1ujbb-14gi-eay-1kwo6vgaau9pf" w:eastAsiaTheme="minorEastAsia" w:hAnsi="f1k1ujbb-14gi-eay-1kwo6vgaau9pf" w:cs="f1k1ujbb-14gi-eay-1kwo6vgaau9pf"/>
          <w:b/>
          <w:bCs/>
          <w:i/>
          <w:iCs/>
          <w:sz w:val="21"/>
          <w:szCs w:val="21"/>
        </w:rPr>
        <w:t>)</w:t>
      </w:r>
      <w:r w:rsidR="005523DA" w:rsidRPr="00B57103">
        <w:rPr>
          <w:rFonts w:ascii="f1k1ujbb-14gi-eay-1kwo6vgaau9pf" w:eastAsiaTheme="minorEastAsia" w:hAnsi="f1k1ujbb-14gi-eay-1kwo6vgaau9pf" w:cs="f1k1ujbb-14gi-eay-1kwo6vgaau9pf"/>
          <w:b/>
          <w:bCs/>
          <w:i/>
          <w:iCs/>
          <w:sz w:val="21"/>
          <w:szCs w:val="21"/>
        </w:rPr>
        <w:t>?</w:t>
      </w:r>
    </w:p>
    <w:p w14:paraId="00AF8618" w14:textId="7C9E73E8" w:rsidR="00D77441" w:rsidRDefault="00680D96" w:rsidP="00D578E6">
      <w:pPr>
        <w:pStyle w:val="Geenafstand"/>
      </w:pPr>
      <w:r>
        <w:t xml:space="preserve">De </w:t>
      </w:r>
      <w:r w:rsidR="00DE1659">
        <w:t>rapporterings</w:t>
      </w:r>
      <w:r>
        <w:t xml:space="preserve">verplichting geldt voor het gehele </w:t>
      </w:r>
      <w:proofErr w:type="spellStart"/>
      <w:r>
        <w:t>wta</w:t>
      </w:r>
      <w:proofErr w:type="spellEnd"/>
      <w:r>
        <w:t>-dome</w:t>
      </w:r>
      <w:r w:rsidR="00A92F36">
        <w:t>i</w:t>
      </w:r>
      <w:r>
        <w:t>n en mag vrijwillig worden toegepast voor het niet-</w:t>
      </w:r>
      <w:proofErr w:type="spellStart"/>
      <w:r>
        <w:t>wta</w:t>
      </w:r>
      <w:proofErr w:type="spellEnd"/>
      <w:r>
        <w:t xml:space="preserve">-domein. </w:t>
      </w:r>
      <w:r w:rsidR="00440DB8">
        <w:t xml:space="preserve">Bij de invoering </w:t>
      </w:r>
      <w:r>
        <w:t>zijn de niet-wettelijke en vrijwillige controles dus uitgesloten</w:t>
      </w:r>
      <w:r w:rsidR="00440DB8">
        <w:t xml:space="preserve"> tenzij de rapporteringsverplichting vrijwillig wordt toegepast</w:t>
      </w:r>
      <w:r>
        <w:t xml:space="preserve">. </w:t>
      </w:r>
      <w:r w:rsidR="00440DB8">
        <w:t>Hiermee geldt de rapporteringsverplichting dus ook niet</w:t>
      </w:r>
      <w:r>
        <w:t xml:space="preserve"> voor bepaalde sectoren, zoals </w:t>
      </w:r>
      <w:r w:rsidR="007D380F">
        <w:t xml:space="preserve">in de </w:t>
      </w:r>
      <w:r>
        <w:t>zorg, onderwijs, rijksoverheid en een deel van decentrale overheden</w:t>
      </w:r>
      <w:r w:rsidR="00440DB8">
        <w:t>.</w:t>
      </w:r>
    </w:p>
    <w:p w14:paraId="08A9DA7B" w14:textId="77777777" w:rsidR="00B57103" w:rsidRDefault="00B57103" w:rsidP="00D578E6">
      <w:pPr>
        <w:pStyle w:val="Geenafstand"/>
        <w:rPr>
          <w:i/>
          <w:iCs/>
        </w:rPr>
      </w:pPr>
    </w:p>
    <w:p w14:paraId="3857E6B1" w14:textId="65D176A7" w:rsidR="00B84864" w:rsidRDefault="00270BDE" w:rsidP="00D578E6">
      <w:pPr>
        <w:pStyle w:val="Geenafstand"/>
        <w:rPr>
          <w:i/>
          <w:iCs/>
        </w:rPr>
      </w:pPr>
      <w:r>
        <w:rPr>
          <w:i/>
          <w:iCs/>
        </w:rPr>
        <w:t>Onderzoeksvra</w:t>
      </w:r>
      <w:r w:rsidR="00B84864">
        <w:rPr>
          <w:i/>
          <w:iCs/>
        </w:rPr>
        <w:t>gen</w:t>
      </w:r>
      <w:r>
        <w:rPr>
          <w:i/>
          <w:iCs/>
        </w:rPr>
        <w:t xml:space="preserve">: </w:t>
      </w:r>
    </w:p>
    <w:p w14:paraId="0E1D1E3A" w14:textId="4D3B6533" w:rsidR="00B84864" w:rsidRDefault="00B84864" w:rsidP="00D578E6">
      <w:pPr>
        <w:pStyle w:val="Geenafstand"/>
        <w:numPr>
          <w:ilvl w:val="0"/>
          <w:numId w:val="19"/>
        </w:numPr>
        <w:rPr>
          <w:i/>
          <w:iCs/>
        </w:rPr>
      </w:pPr>
      <w:r>
        <w:rPr>
          <w:i/>
          <w:iCs/>
        </w:rPr>
        <w:t xml:space="preserve">Is de rapporteringsverplichting </w:t>
      </w:r>
      <w:r w:rsidR="00596E8A">
        <w:rPr>
          <w:i/>
          <w:iCs/>
        </w:rPr>
        <w:t xml:space="preserve">in praktijk </w:t>
      </w:r>
      <w:r>
        <w:rPr>
          <w:i/>
          <w:iCs/>
        </w:rPr>
        <w:t xml:space="preserve">breder toegepast dan alleen het </w:t>
      </w:r>
      <w:proofErr w:type="spellStart"/>
      <w:r>
        <w:rPr>
          <w:i/>
          <w:iCs/>
        </w:rPr>
        <w:t>wta</w:t>
      </w:r>
      <w:proofErr w:type="spellEnd"/>
      <w:r>
        <w:rPr>
          <w:i/>
          <w:iCs/>
        </w:rPr>
        <w:t>-domein?</w:t>
      </w:r>
    </w:p>
    <w:p w14:paraId="69E275AE" w14:textId="4920611C" w:rsidR="00440DB8" w:rsidRDefault="60522CFA" w:rsidP="640B6EFA">
      <w:pPr>
        <w:pStyle w:val="Geenafstand"/>
        <w:numPr>
          <w:ilvl w:val="0"/>
          <w:numId w:val="19"/>
        </w:numPr>
        <w:rPr>
          <w:i/>
          <w:iCs/>
        </w:rPr>
      </w:pPr>
      <w:r w:rsidRPr="640B6EFA">
        <w:rPr>
          <w:i/>
          <w:iCs/>
        </w:rPr>
        <w:t xml:space="preserve">Voor welke sectoren is toepassing van de rapporteringsverplichting </w:t>
      </w:r>
      <w:r w:rsidR="00235F0E">
        <w:rPr>
          <w:i/>
          <w:iCs/>
        </w:rPr>
        <w:t xml:space="preserve">wel of niet </w:t>
      </w:r>
      <w:r w:rsidRPr="640B6EFA">
        <w:rPr>
          <w:i/>
          <w:iCs/>
        </w:rPr>
        <w:t>gewenst?</w:t>
      </w:r>
    </w:p>
    <w:p w14:paraId="51E6C7D3" w14:textId="2FC1C9BF" w:rsidR="00D047DC" w:rsidRDefault="00D047DC" w:rsidP="00D578E6">
      <w:pPr>
        <w:pStyle w:val="Geenafstand"/>
        <w:numPr>
          <w:ilvl w:val="0"/>
          <w:numId w:val="19"/>
        </w:numPr>
        <w:rPr>
          <w:i/>
          <w:iCs/>
        </w:rPr>
      </w:pPr>
      <w:r>
        <w:rPr>
          <w:i/>
          <w:iCs/>
        </w:rPr>
        <w:t xml:space="preserve">Moeten we de </w:t>
      </w:r>
      <w:r w:rsidR="00B84864">
        <w:rPr>
          <w:i/>
          <w:iCs/>
        </w:rPr>
        <w:t xml:space="preserve">rapportageverplichting </w:t>
      </w:r>
    </w:p>
    <w:p w14:paraId="5532476F" w14:textId="5285D760" w:rsidR="00D047DC" w:rsidRDefault="00D047DC" w:rsidP="00D578E6">
      <w:pPr>
        <w:pStyle w:val="Geenafstand"/>
        <w:numPr>
          <w:ilvl w:val="1"/>
          <w:numId w:val="19"/>
        </w:numPr>
        <w:rPr>
          <w:i/>
          <w:iCs/>
        </w:rPr>
      </w:pPr>
      <w:r>
        <w:rPr>
          <w:i/>
          <w:iCs/>
        </w:rPr>
        <w:t>Afschaffen</w:t>
      </w:r>
    </w:p>
    <w:p w14:paraId="57D7C089" w14:textId="3DE39151" w:rsidR="00D047DC" w:rsidRPr="004758C9" w:rsidRDefault="00D047DC" w:rsidP="004758C9">
      <w:pPr>
        <w:pStyle w:val="Geenafstand"/>
        <w:numPr>
          <w:ilvl w:val="1"/>
          <w:numId w:val="19"/>
        </w:numPr>
        <w:rPr>
          <w:i/>
          <w:iCs/>
        </w:rPr>
      </w:pPr>
      <w:r>
        <w:rPr>
          <w:i/>
          <w:iCs/>
        </w:rPr>
        <w:t>B</w:t>
      </w:r>
      <w:r w:rsidR="00A63F6E">
        <w:rPr>
          <w:i/>
          <w:iCs/>
        </w:rPr>
        <w:t xml:space="preserve">eperken tot </w:t>
      </w:r>
      <w:proofErr w:type="spellStart"/>
      <w:r w:rsidR="004758C9">
        <w:rPr>
          <w:i/>
          <w:iCs/>
        </w:rPr>
        <w:t>oob’s</w:t>
      </w:r>
      <w:proofErr w:type="spellEnd"/>
      <w:r w:rsidR="004758C9">
        <w:rPr>
          <w:i/>
          <w:iCs/>
        </w:rPr>
        <w:t xml:space="preserve"> en/of </w:t>
      </w:r>
      <w:proofErr w:type="spellStart"/>
      <w:r w:rsidR="00A63F6E" w:rsidRPr="004758C9">
        <w:rPr>
          <w:i/>
          <w:iCs/>
        </w:rPr>
        <w:t>wta</w:t>
      </w:r>
      <w:proofErr w:type="spellEnd"/>
      <w:r w:rsidR="00A63F6E" w:rsidRPr="004758C9">
        <w:rPr>
          <w:i/>
          <w:iCs/>
        </w:rPr>
        <w:t xml:space="preserve"> domein of </w:t>
      </w:r>
    </w:p>
    <w:p w14:paraId="5C7F2243" w14:textId="38657F80" w:rsidR="00270BDE" w:rsidRDefault="00D047DC" w:rsidP="00D578E6">
      <w:pPr>
        <w:pStyle w:val="Geenafstand"/>
        <w:numPr>
          <w:ilvl w:val="1"/>
          <w:numId w:val="19"/>
        </w:numPr>
        <w:rPr>
          <w:i/>
          <w:iCs/>
        </w:rPr>
      </w:pPr>
      <w:r>
        <w:rPr>
          <w:i/>
          <w:iCs/>
        </w:rPr>
        <w:t>U</w:t>
      </w:r>
      <w:r w:rsidR="00A63F6E">
        <w:rPr>
          <w:i/>
          <w:iCs/>
        </w:rPr>
        <w:t xml:space="preserve">itbreiden naar </w:t>
      </w:r>
      <w:r>
        <w:rPr>
          <w:i/>
          <w:iCs/>
        </w:rPr>
        <w:t xml:space="preserve">het </w:t>
      </w:r>
      <w:r w:rsidR="00A63F6E">
        <w:rPr>
          <w:i/>
          <w:iCs/>
        </w:rPr>
        <w:t>niet-</w:t>
      </w:r>
      <w:proofErr w:type="spellStart"/>
      <w:r w:rsidR="00A63F6E">
        <w:rPr>
          <w:i/>
          <w:iCs/>
        </w:rPr>
        <w:t>wta</w:t>
      </w:r>
      <w:proofErr w:type="spellEnd"/>
      <w:r w:rsidR="00A63F6E">
        <w:rPr>
          <w:i/>
          <w:iCs/>
        </w:rPr>
        <w:t xml:space="preserve"> domein?</w:t>
      </w:r>
    </w:p>
    <w:p w14:paraId="156AE66A" w14:textId="719136BF" w:rsidR="00235F0E" w:rsidRDefault="00235F0E" w:rsidP="00D578E6">
      <w:pPr>
        <w:pStyle w:val="Geenafstand"/>
        <w:numPr>
          <w:ilvl w:val="1"/>
          <w:numId w:val="19"/>
        </w:numPr>
        <w:rPr>
          <w:i/>
          <w:iCs/>
        </w:rPr>
      </w:pPr>
      <w:r>
        <w:rPr>
          <w:i/>
          <w:iCs/>
        </w:rPr>
        <w:t>Bepaalde sectoren toevoegen of out</w:t>
      </w:r>
      <w:r w:rsidR="003047AC">
        <w:rPr>
          <w:i/>
          <w:iCs/>
        </w:rPr>
        <w:t>-</w:t>
      </w:r>
      <w:proofErr w:type="spellStart"/>
      <w:r>
        <w:rPr>
          <w:i/>
          <w:iCs/>
        </w:rPr>
        <w:t>s</w:t>
      </w:r>
      <w:r w:rsidR="003047AC">
        <w:rPr>
          <w:i/>
          <w:iCs/>
        </w:rPr>
        <w:t>c</w:t>
      </w:r>
      <w:r>
        <w:rPr>
          <w:i/>
          <w:iCs/>
        </w:rPr>
        <w:t>open</w:t>
      </w:r>
      <w:proofErr w:type="spellEnd"/>
      <w:r>
        <w:rPr>
          <w:i/>
          <w:iCs/>
        </w:rPr>
        <w:t>?</w:t>
      </w:r>
    </w:p>
    <w:p w14:paraId="6408108F" w14:textId="77777777" w:rsidR="00270BDE" w:rsidRDefault="00270BDE" w:rsidP="00D578E6">
      <w:pPr>
        <w:pStyle w:val="Geenafstand"/>
      </w:pPr>
    </w:p>
    <w:p w14:paraId="249D4449" w14:textId="29CF34E9" w:rsidR="005523DA" w:rsidRPr="00B57103" w:rsidRDefault="291D0989" w:rsidP="5AA9195D">
      <w:pPr>
        <w:pStyle w:val="Geenafstand"/>
        <w:rPr>
          <w:b/>
          <w:bCs/>
          <w:i/>
          <w:iCs/>
        </w:rPr>
      </w:pPr>
      <w:r w:rsidRPr="5AA9195D">
        <w:rPr>
          <w:b/>
          <w:bCs/>
          <w:i/>
          <w:iCs/>
        </w:rPr>
        <w:t xml:space="preserve">De accountant kan of </w:t>
      </w:r>
      <w:r w:rsidR="004758C9">
        <w:rPr>
          <w:b/>
          <w:bCs/>
          <w:i/>
          <w:iCs/>
        </w:rPr>
        <w:t>is</w:t>
      </w:r>
      <w:r w:rsidR="004758C9" w:rsidRPr="5AA9195D">
        <w:rPr>
          <w:b/>
          <w:bCs/>
          <w:i/>
          <w:iCs/>
        </w:rPr>
        <w:t xml:space="preserve"> </w:t>
      </w:r>
      <w:r w:rsidRPr="5AA9195D">
        <w:rPr>
          <w:b/>
          <w:bCs/>
          <w:i/>
          <w:iCs/>
        </w:rPr>
        <w:t xml:space="preserve">verplicht </w:t>
      </w:r>
      <w:r w:rsidR="004758C9">
        <w:rPr>
          <w:b/>
          <w:bCs/>
          <w:i/>
          <w:iCs/>
        </w:rPr>
        <w:t xml:space="preserve">te </w:t>
      </w:r>
      <w:r w:rsidRPr="5AA9195D">
        <w:rPr>
          <w:b/>
          <w:bCs/>
          <w:i/>
          <w:iCs/>
        </w:rPr>
        <w:t>rapporteren over alle frauderisico’s</w:t>
      </w:r>
    </w:p>
    <w:p w14:paraId="1C09E787" w14:textId="0B8B0632" w:rsidR="001C08BF" w:rsidRDefault="005523DA" w:rsidP="00D578E6">
      <w:pPr>
        <w:pStyle w:val="Geenafstand"/>
      </w:pPr>
      <w:r>
        <w:t xml:space="preserve">Bij frauderisico’s die kunnen leiden tot een afwijking van materieel belang, </w:t>
      </w:r>
      <w:r w:rsidRPr="00B57103">
        <w:rPr>
          <w:i/>
          <w:iCs/>
        </w:rPr>
        <w:t>kan</w:t>
      </w:r>
      <w:r>
        <w:t xml:space="preserve"> de accountant uitgebreid rapporteren in de fraudesectie</w:t>
      </w:r>
      <w:r w:rsidR="001C08BF">
        <w:t xml:space="preserve"> over de elementen benoemd in de </w:t>
      </w:r>
      <w:r w:rsidR="008E1983">
        <w:t xml:space="preserve">A-paragrafen in de </w:t>
      </w:r>
      <w:r w:rsidR="00221522">
        <w:t>S</w:t>
      </w:r>
      <w:r w:rsidR="001C08BF">
        <w:t xml:space="preserve">tandaard. Er is geen harde verplichting wat de accountant in de rapportage </w:t>
      </w:r>
      <w:r w:rsidR="008E1983">
        <w:t>moet opnemen</w:t>
      </w:r>
      <w:r w:rsidR="00244A3B">
        <w:t xml:space="preserve"> over de benoemde elementen in de A-paragrafen.</w:t>
      </w:r>
      <w:r w:rsidR="001C08BF">
        <w:t xml:space="preserve"> </w:t>
      </w:r>
    </w:p>
    <w:p w14:paraId="120D905D" w14:textId="77777777" w:rsidR="00B57103" w:rsidRDefault="00B57103" w:rsidP="00D578E6">
      <w:pPr>
        <w:pStyle w:val="Geenafstand"/>
      </w:pPr>
    </w:p>
    <w:p w14:paraId="1C72A597" w14:textId="77777777" w:rsidR="001C08BF" w:rsidRDefault="001C08BF" w:rsidP="00D578E6">
      <w:pPr>
        <w:pStyle w:val="Geenafstand"/>
        <w:rPr>
          <w:i/>
          <w:iCs/>
        </w:rPr>
      </w:pPr>
      <w:r>
        <w:rPr>
          <w:i/>
          <w:iCs/>
        </w:rPr>
        <w:t xml:space="preserve">Onderzoeksvragen: </w:t>
      </w:r>
    </w:p>
    <w:p w14:paraId="7545E558" w14:textId="69BB48D0" w:rsidR="005523DA" w:rsidRDefault="001C08BF" w:rsidP="00D578E6">
      <w:pPr>
        <w:pStyle w:val="Geenafstand"/>
        <w:numPr>
          <w:ilvl w:val="0"/>
          <w:numId w:val="19"/>
        </w:numPr>
        <w:rPr>
          <w:i/>
          <w:iCs/>
        </w:rPr>
      </w:pPr>
      <w:r>
        <w:rPr>
          <w:i/>
          <w:iCs/>
        </w:rPr>
        <w:t xml:space="preserve">Is </w:t>
      </w:r>
      <w:r w:rsidR="001E7FF5">
        <w:rPr>
          <w:i/>
          <w:iCs/>
        </w:rPr>
        <w:t xml:space="preserve">de ‘kan’- bepaling in de </w:t>
      </w:r>
      <w:r w:rsidR="00221522">
        <w:rPr>
          <w:i/>
          <w:iCs/>
        </w:rPr>
        <w:t>S</w:t>
      </w:r>
      <w:r w:rsidR="001E7FF5">
        <w:rPr>
          <w:i/>
          <w:iCs/>
        </w:rPr>
        <w:t xml:space="preserve">tandaard </w:t>
      </w:r>
      <w:r>
        <w:rPr>
          <w:i/>
          <w:iCs/>
        </w:rPr>
        <w:t>voldoende duidelijk</w:t>
      </w:r>
      <w:r w:rsidR="001E7FF5">
        <w:rPr>
          <w:i/>
          <w:iCs/>
        </w:rPr>
        <w:t xml:space="preserve">: dus wanneer en </w:t>
      </w:r>
      <w:r>
        <w:rPr>
          <w:i/>
          <w:iCs/>
        </w:rPr>
        <w:t xml:space="preserve">waarover de accountant op basis van de </w:t>
      </w:r>
      <w:r w:rsidR="00221522">
        <w:rPr>
          <w:i/>
          <w:iCs/>
        </w:rPr>
        <w:t>S</w:t>
      </w:r>
      <w:r>
        <w:rPr>
          <w:i/>
          <w:iCs/>
        </w:rPr>
        <w:t xml:space="preserve">tandaard moet rapporteren? </w:t>
      </w:r>
    </w:p>
    <w:p w14:paraId="01B59520" w14:textId="50E53BF0" w:rsidR="0003115D" w:rsidRDefault="0003115D" w:rsidP="00D578E6">
      <w:pPr>
        <w:pStyle w:val="Geenafstand"/>
        <w:numPr>
          <w:ilvl w:val="1"/>
          <w:numId w:val="19"/>
        </w:numPr>
        <w:rPr>
          <w:i/>
          <w:iCs/>
        </w:rPr>
      </w:pPr>
      <w:r>
        <w:rPr>
          <w:i/>
          <w:iCs/>
        </w:rPr>
        <w:t xml:space="preserve">Zijn de benoemde elementen in </w:t>
      </w:r>
      <w:r w:rsidR="00FE7DBD">
        <w:rPr>
          <w:i/>
          <w:iCs/>
        </w:rPr>
        <w:t xml:space="preserve">de A-paragraaf van </w:t>
      </w:r>
      <w:r>
        <w:rPr>
          <w:i/>
          <w:iCs/>
        </w:rPr>
        <w:t xml:space="preserve">de </w:t>
      </w:r>
      <w:r w:rsidR="00221522">
        <w:rPr>
          <w:i/>
          <w:iCs/>
        </w:rPr>
        <w:t>S</w:t>
      </w:r>
      <w:r>
        <w:rPr>
          <w:i/>
          <w:iCs/>
        </w:rPr>
        <w:t xml:space="preserve">tandaard duidelijk? </w:t>
      </w:r>
    </w:p>
    <w:p w14:paraId="6F1CA05E" w14:textId="727E5692" w:rsidR="0003115D" w:rsidRPr="0003115D" w:rsidRDefault="0003115D" w:rsidP="00D578E6">
      <w:pPr>
        <w:pStyle w:val="Geenafstand"/>
        <w:numPr>
          <w:ilvl w:val="1"/>
          <w:numId w:val="19"/>
        </w:numPr>
        <w:rPr>
          <w:i/>
          <w:iCs/>
        </w:rPr>
      </w:pPr>
      <w:r>
        <w:rPr>
          <w:i/>
          <w:iCs/>
        </w:rPr>
        <w:t xml:space="preserve">Zijn de benoemde elementen </w:t>
      </w:r>
      <w:r w:rsidR="00FE7DBD">
        <w:rPr>
          <w:i/>
          <w:iCs/>
        </w:rPr>
        <w:t xml:space="preserve">in de A-paragraaf </w:t>
      </w:r>
      <w:r>
        <w:rPr>
          <w:i/>
          <w:iCs/>
        </w:rPr>
        <w:t>in de praktijk toepasbaar gebleken</w:t>
      </w:r>
      <w:r w:rsidR="00FE7DBD">
        <w:rPr>
          <w:i/>
          <w:iCs/>
        </w:rPr>
        <w:t xml:space="preserve"> / toegepast</w:t>
      </w:r>
      <w:r>
        <w:rPr>
          <w:i/>
          <w:iCs/>
        </w:rPr>
        <w:t xml:space="preserve">? </w:t>
      </w:r>
    </w:p>
    <w:p w14:paraId="13EF0030" w14:textId="380D1512" w:rsidR="001C08BF" w:rsidRDefault="001C08BF" w:rsidP="00D578E6">
      <w:pPr>
        <w:pStyle w:val="Geenafstand"/>
        <w:numPr>
          <w:ilvl w:val="0"/>
          <w:numId w:val="19"/>
        </w:numPr>
        <w:rPr>
          <w:i/>
          <w:iCs/>
        </w:rPr>
      </w:pPr>
      <w:r>
        <w:rPr>
          <w:i/>
          <w:iCs/>
        </w:rPr>
        <w:t xml:space="preserve">Hoe heeft de accountant </w:t>
      </w:r>
      <w:r w:rsidR="001E7FF5">
        <w:rPr>
          <w:i/>
          <w:iCs/>
        </w:rPr>
        <w:t>de</w:t>
      </w:r>
      <w:r>
        <w:rPr>
          <w:i/>
          <w:iCs/>
        </w:rPr>
        <w:t xml:space="preserve"> ‘kan’-bepaling in de pra</w:t>
      </w:r>
      <w:r w:rsidR="001E7FF5">
        <w:rPr>
          <w:i/>
          <w:iCs/>
        </w:rPr>
        <w:t>kt</w:t>
      </w:r>
      <w:r>
        <w:rPr>
          <w:i/>
          <w:iCs/>
        </w:rPr>
        <w:t>ijk toegepast</w:t>
      </w:r>
      <w:r w:rsidR="00FE7DBD">
        <w:rPr>
          <w:i/>
          <w:iCs/>
        </w:rPr>
        <w:t xml:space="preserve"> voor de rapportering over de volgende risico’s:</w:t>
      </w:r>
      <w:r>
        <w:rPr>
          <w:i/>
          <w:iCs/>
        </w:rPr>
        <w:t xml:space="preserve"> </w:t>
      </w:r>
    </w:p>
    <w:p w14:paraId="30E3911C" w14:textId="1278E6C9" w:rsidR="00443250" w:rsidRDefault="00443250" w:rsidP="00D578E6">
      <w:pPr>
        <w:pStyle w:val="Geenafstand"/>
        <w:numPr>
          <w:ilvl w:val="1"/>
          <w:numId w:val="19"/>
        </w:numPr>
        <w:rPr>
          <w:i/>
          <w:iCs/>
        </w:rPr>
      </w:pPr>
      <w:r>
        <w:rPr>
          <w:i/>
          <w:iCs/>
        </w:rPr>
        <w:t xml:space="preserve">Rapportering </w:t>
      </w:r>
      <w:r w:rsidR="00FE7DBD">
        <w:rPr>
          <w:i/>
          <w:iCs/>
        </w:rPr>
        <w:t xml:space="preserve">is toegepast voor </w:t>
      </w:r>
      <w:r w:rsidR="00E07104">
        <w:rPr>
          <w:i/>
          <w:iCs/>
        </w:rPr>
        <w:t xml:space="preserve">- </w:t>
      </w:r>
      <w:r>
        <w:rPr>
          <w:i/>
          <w:iCs/>
        </w:rPr>
        <w:t xml:space="preserve">enkele </w:t>
      </w:r>
      <w:r w:rsidR="00E07104">
        <w:rPr>
          <w:i/>
          <w:iCs/>
        </w:rPr>
        <w:t xml:space="preserve">/ de belangrijkste / alle - </w:t>
      </w:r>
      <w:r>
        <w:rPr>
          <w:i/>
          <w:iCs/>
        </w:rPr>
        <w:t>onderkende frauderisico</w:t>
      </w:r>
      <w:r w:rsidR="007338A6">
        <w:rPr>
          <w:i/>
          <w:iCs/>
        </w:rPr>
        <w:t>’</w:t>
      </w:r>
      <w:r>
        <w:rPr>
          <w:i/>
          <w:iCs/>
        </w:rPr>
        <w:t>s</w:t>
      </w:r>
      <w:r w:rsidR="007338A6">
        <w:rPr>
          <w:i/>
          <w:iCs/>
        </w:rPr>
        <w:t xml:space="preserve"> vanuit </w:t>
      </w:r>
      <w:r w:rsidR="00221522">
        <w:rPr>
          <w:i/>
          <w:iCs/>
        </w:rPr>
        <w:t>S</w:t>
      </w:r>
      <w:r w:rsidR="007338A6">
        <w:rPr>
          <w:i/>
          <w:iCs/>
        </w:rPr>
        <w:t>tandaard 240</w:t>
      </w:r>
      <w:r>
        <w:rPr>
          <w:i/>
          <w:iCs/>
        </w:rPr>
        <w:t>?</w:t>
      </w:r>
    </w:p>
    <w:p w14:paraId="35E1E827" w14:textId="017AC4B7" w:rsidR="00443250" w:rsidRDefault="00443250" w:rsidP="00D578E6">
      <w:pPr>
        <w:pStyle w:val="Geenafstand"/>
        <w:numPr>
          <w:ilvl w:val="1"/>
          <w:numId w:val="19"/>
        </w:numPr>
        <w:rPr>
          <w:i/>
          <w:iCs/>
        </w:rPr>
      </w:pPr>
      <w:r>
        <w:rPr>
          <w:i/>
          <w:iCs/>
        </w:rPr>
        <w:t>Rapportering</w:t>
      </w:r>
      <w:r w:rsidR="00FE7DBD">
        <w:rPr>
          <w:i/>
          <w:iCs/>
        </w:rPr>
        <w:t xml:space="preserve"> is toegepast</w:t>
      </w:r>
      <w:r>
        <w:rPr>
          <w:i/>
          <w:iCs/>
        </w:rPr>
        <w:t xml:space="preserve"> over het v</w:t>
      </w:r>
      <w:r w:rsidR="001E7FF5">
        <w:rPr>
          <w:i/>
          <w:iCs/>
        </w:rPr>
        <w:t xml:space="preserve">erplichte </w:t>
      </w:r>
      <w:r>
        <w:rPr>
          <w:i/>
          <w:iCs/>
        </w:rPr>
        <w:t>fraude</w:t>
      </w:r>
      <w:r w:rsidR="001E7FF5">
        <w:rPr>
          <w:i/>
          <w:iCs/>
        </w:rPr>
        <w:t xml:space="preserve">risico management </w:t>
      </w:r>
      <w:proofErr w:type="spellStart"/>
      <w:r w:rsidR="001E7FF5">
        <w:rPr>
          <w:i/>
          <w:iCs/>
        </w:rPr>
        <w:t>override</w:t>
      </w:r>
      <w:proofErr w:type="spellEnd"/>
      <w:r w:rsidR="001E7FF5">
        <w:rPr>
          <w:i/>
          <w:iCs/>
        </w:rPr>
        <w:t xml:space="preserve"> </w:t>
      </w:r>
      <w:r>
        <w:rPr>
          <w:i/>
          <w:iCs/>
        </w:rPr>
        <w:t xml:space="preserve">en het veronderstelde frauderisico opbrengstverantwoording? </w:t>
      </w:r>
    </w:p>
    <w:p w14:paraId="7890CA00" w14:textId="433A6DAF" w:rsidR="007338A6" w:rsidRDefault="007338A6" w:rsidP="00D578E6">
      <w:pPr>
        <w:pStyle w:val="Geenafstand"/>
        <w:numPr>
          <w:ilvl w:val="1"/>
          <w:numId w:val="19"/>
        </w:numPr>
        <w:rPr>
          <w:i/>
          <w:iCs/>
        </w:rPr>
      </w:pPr>
      <w:r>
        <w:rPr>
          <w:i/>
          <w:iCs/>
        </w:rPr>
        <w:lastRenderedPageBreak/>
        <w:t xml:space="preserve">Rapportering </w:t>
      </w:r>
      <w:r w:rsidR="00FE7DBD">
        <w:rPr>
          <w:i/>
          <w:iCs/>
        </w:rPr>
        <w:t xml:space="preserve">is wel / niet toegepast </w:t>
      </w:r>
      <w:r>
        <w:rPr>
          <w:i/>
          <w:iCs/>
        </w:rPr>
        <w:t xml:space="preserve">over risico’s inzake niet naleving van wet- en regelgeving vanuit </w:t>
      </w:r>
      <w:r w:rsidR="00221522">
        <w:rPr>
          <w:i/>
          <w:iCs/>
        </w:rPr>
        <w:t>S</w:t>
      </w:r>
      <w:r>
        <w:rPr>
          <w:i/>
          <w:iCs/>
        </w:rPr>
        <w:t>tandaard 250?</w:t>
      </w:r>
    </w:p>
    <w:p w14:paraId="24B8E787" w14:textId="32AB42CB" w:rsidR="0003115D" w:rsidRDefault="004758C9" w:rsidP="5AA9195D">
      <w:pPr>
        <w:pStyle w:val="Geenafstand"/>
        <w:numPr>
          <w:ilvl w:val="0"/>
          <w:numId w:val="19"/>
        </w:numPr>
        <w:rPr>
          <w:i/>
          <w:iCs/>
        </w:rPr>
      </w:pPr>
      <w:r>
        <w:rPr>
          <w:i/>
          <w:iCs/>
        </w:rPr>
        <w:t>Welke</w:t>
      </w:r>
      <w:r w:rsidR="211D9AE1" w:rsidRPr="5AA9195D">
        <w:rPr>
          <w:i/>
          <w:iCs/>
        </w:rPr>
        <w:t xml:space="preserve"> </w:t>
      </w:r>
      <w:r w:rsidR="00395DDB">
        <w:rPr>
          <w:i/>
          <w:iCs/>
        </w:rPr>
        <w:t xml:space="preserve">elementen </w:t>
      </w:r>
      <w:r w:rsidR="00395DDB" w:rsidRPr="5AA9195D">
        <w:rPr>
          <w:i/>
          <w:iCs/>
        </w:rPr>
        <w:t xml:space="preserve">zoals benoemd in de A-paragraaf </w:t>
      </w:r>
      <w:r w:rsidR="00395DDB">
        <w:rPr>
          <w:i/>
          <w:iCs/>
        </w:rPr>
        <w:t xml:space="preserve"> zouden we willen </w:t>
      </w:r>
      <w:r w:rsidR="00527BEF">
        <w:rPr>
          <w:i/>
          <w:iCs/>
        </w:rPr>
        <w:t xml:space="preserve">laten vervallen, </w:t>
      </w:r>
      <w:r w:rsidR="00395DDB">
        <w:rPr>
          <w:i/>
          <w:iCs/>
        </w:rPr>
        <w:t>handhaven en / of verplichte</w:t>
      </w:r>
      <w:r w:rsidR="00527BEF">
        <w:rPr>
          <w:i/>
          <w:iCs/>
        </w:rPr>
        <w:t xml:space="preserve">n en / of zijn er nieuwe elementen toe te voegen? </w:t>
      </w:r>
    </w:p>
    <w:p w14:paraId="5140DC6D" w14:textId="55E9A65C" w:rsidR="0028350F" w:rsidRPr="00C336D8" w:rsidRDefault="0028350F" w:rsidP="00D578E6">
      <w:pPr>
        <w:pStyle w:val="Geenafstand"/>
        <w:numPr>
          <w:ilvl w:val="0"/>
          <w:numId w:val="19"/>
        </w:numPr>
        <w:rPr>
          <w:i/>
          <w:iCs/>
        </w:rPr>
      </w:pPr>
      <w:r>
        <w:rPr>
          <w:i/>
          <w:iCs/>
        </w:rPr>
        <w:t xml:space="preserve">Moeten we het rapporteren  </w:t>
      </w:r>
      <w:r w:rsidRPr="1BAEFF4E">
        <w:rPr>
          <w:i/>
          <w:iCs/>
        </w:rPr>
        <w:t xml:space="preserve">over alle onderkende frauderisico’s </w:t>
      </w:r>
      <w:r>
        <w:rPr>
          <w:i/>
          <w:iCs/>
        </w:rPr>
        <w:t>in alle gevallen verplichten</w:t>
      </w:r>
      <w:r w:rsidRPr="1BAEFF4E">
        <w:rPr>
          <w:i/>
          <w:iCs/>
        </w:rPr>
        <w:t xml:space="preserve">? </w:t>
      </w:r>
    </w:p>
    <w:p w14:paraId="11AC11FF" w14:textId="77777777" w:rsidR="00C12F55" w:rsidRDefault="007338A6" w:rsidP="00D578E6">
      <w:pPr>
        <w:pStyle w:val="Geenafstand"/>
        <w:numPr>
          <w:ilvl w:val="0"/>
          <w:numId w:val="19"/>
        </w:numPr>
        <w:rPr>
          <w:i/>
          <w:iCs/>
        </w:rPr>
      </w:pPr>
      <w:r>
        <w:rPr>
          <w:i/>
          <w:iCs/>
        </w:rPr>
        <w:t>Moeten we de rapportageverplichting</w:t>
      </w:r>
      <w:r w:rsidR="00C336D8">
        <w:rPr>
          <w:i/>
          <w:iCs/>
        </w:rPr>
        <w:t>:</w:t>
      </w:r>
      <w:r>
        <w:rPr>
          <w:i/>
          <w:iCs/>
        </w:rPr>
        <w:t xml:space="preserve"> </w:t>
      </w:r>
    </w:p>
    <w:p w14:paraId="7788BDE0" w14:textId="40D7D39C" w:rsidR="007338A6" w:rsidRDefault="00C12F55" w:rsidP="00D578E6">
      <w:pPr>
        <w:pStyle w:val="Geenafstand"/>
        <w:numPr>
          <w:ilvl w:val="1"/>
          <w:numId w:val="19"/>
        </w:numPr>
        <w:rPr>
          <w:i/>
          <w:iCs/>
        </w:rPr>
      </w:pPr>
      <w:r>
        <w:rPr>
          <w:i/>
          <w:iCs/>
        </w:rPr>
        <w:t>handhaven voor all</w:t>
      </w:r>
      <w:r w:rsidR="00527BEF">
        <w:rPr>
          <w:i/>
          <w:iCs/>
        </w:rPr>
        <w:t>éé</w:t>
      </w:r>
      <w:r>
        <w:rPr>
          <w:i/>
          <w:iCs/>
        </w:rPr>
        <w:t>n ‘</w:t>
      </w:r>
      <w:proofErr w:type="spellStart"/>
      <w:r>
        <w:rPr>
          <w:i/>
          <w:iCs/>
        </w:rPr>
        <w:t>std</w:t>
      </w:r>
      <w:proofErr w:type="spellEnd"/>
      <w:r>
        <w:rPr>
          <w:i/>
          <w:iCs/>
        </w:rPr>
        <w:t xml:space="preserve"> 240’ </w:t>
      </w:r>
      <w:r w:rsidR="00FE7DBD">
        <w:rPr>
          <w:i/>
          <w:iCs/>
        </w:rPr>
        <w:t>fraude</w:t>
      </w:r>
      <w:r>
        <w:rPr>
          <w:i/>
          <w:iCs/>
        </w:rPr>
        <w:t>risico’s?</w:t>
      </w:r>
    </w:p>
    <w:p w14:paraId="6C2B80E9" w14:textId="2C083866" w:rsidR="00C12F55" w:rsidRPr="0040573B" w:rsidRDefault="00C12F55" w:rsidP="00D578E6">
      <w:pPr>
        <w:pStyle w:val="Geenafstand"/>
        <w:numPr>
          <w:ilvl w:val="1"/>
          <w:numId w:val="19"/>
        </w:numPr>
        <w:rPr>
          <w:i/>
          <w:iCs/>
        </w:rPr>
      </w:pPr>
      <w:r>
        <w:rPr>
          <w:i/>
          <w:iCs/>
        </w:rPr>
        <w:t>uitbreiden naar ‘</w:t>
      </w:r>
      <w:proofErr w:type="spellStart"/>
      <w:r>
        <w:rPr>
          <w:i/>
          <w:iCs/>
        </w:rPr>
        <w:t>std</w:t>
      </w:r>
      <w:proofErr w:type="spellEnd"/>
      <w:r>
        <w:rPr>
          <w:i/>
          <w:iCs/>
        </w:rPr>
        <w:t xml:space="preserve"> 250’ risico</w:t>
      </w:r>
      <w:r w:rsidR="00FE7DBD">
        <w:rPr>
          <w:i/>
          <w:iCs/>
        </w:rPr>
        <w:t>’</w:t>
      </w:r>
      <w:r>
        <w:rPr>
          <w:i/>
          <w:iCs/>
        </w:rPr>
        <w:t>s</w:t>
      </w:r>
      <w:r w:rsidR="00FE7DBD">
        <w:rPr>
          <w:i/>
          <w:iCs/>
        </w:rPr>
        <w:t xml:space="preserve"> ten aanzien van niet naleving van wet- en regelgeving</w:t>
      </w:r>
      <w:r>
        <w:rPr>
          <w:i/>
          <w:iCs/>
        </w:rPr>
        <w:t xml:space="preserve">? </w:t>
      </w:r>
    </w:p>
    <w:p w14:paraId="594D5962" w14:textId="501E2E3C" w:rsidR="001C08BF" w:rsidRDefault="001C08BF" w:rsidP="00D578E6">
      <w:pPr>
        <w:pStyle w:val="Geenafstand"/>
        <w:rPr>
          <w:i/>
          <w:iCs/>
        </w:rPr>
      </w:pPr>
    </w:p>
    <w:p w14:paraId="508CC23B" w14:textId="28D9268C" w:rsidR="00D77441" w:rsidRPr="00B57103" w:rsidRDefault="005523DA" w:rsidP="00D578E6">
      <w:pPr>
        <w:pStyle w:val="Geenafstand"/>
        <w:rPr>
          <w:b/>
          <w:bCs/>
        </w:rPr>
      </w:pPr>
      <w:r w:rsidRPr="00B57103">
        <w:rPr>
          <w:b/>
          <w:bCs/>
          <w:i/>
          <w:iCs/>
        </w:rPr>
        <w:t>Verkort rapporteren</w:t>
      </w:r>
      <w:r w:rsidR="00443250" w:rsidRPr="00B57103">
        <w:rPr>
          <w:b/>
          <w:bCs/>
          <w:i/>
          <w:iCs/>
        </w:rPr>
        <w:t xml:space="preserve"> (</w:t>
      </w:r>
      <w:r w:rsidR="00FE7DBD" w:rsidRPr="00B57103">
        <w:rPr>
          <w:b/>
          <w:bCs/>
          <w:i/>
          <w:iCs/>
        </w:rPr>
        <w:t xml:space="preserve">toepassing </w:t>
      </w:r>
      <w:r w:rsidR="00443250" w:rsidRPr="00B57103">
        <w:rPr>
          <w:b/>
          <w:bCs/>
          <w:i/>
          <w:iCs/>
        </w:rPr>
        <w:t>p</w:t>
      </w:r>
      <w:r w:rsidR="00D77441" w:rsidRPr="00B57103">
        <w:rPr>
          <w:b/>
          <w:bCs/>
          <w:i/>
          <w:iCs/>
        </w:rPr>
        <w:t>roportionaliteit</w:t>
      </w:r>
      <w:r w:rsidR="00443250" w:rsidRPr="00B57103">
        <w:rPr>
          <w:b/>
          <w:bCs/>
          <w:i/>
          <w:iCs/>
        </w:rPr>
        <w:t>)</w:t>
      </w:r>
      <w:r w:rsidRPr="00B57103">
        <w:rPr>
          <w:b/>
          <w:bCs/>
          <w:i/>
          <w:iCs/>
        </w:rPr>
        <w:t xml:space="preserve"> handhaven of afschaffen?</w:t>
      </w:r>
    </w:p>
    <w:p w14:paraId="4FB3F096" w14:textId="77777777" w:rsidR="00355618" w:rsidRPr="00D578E6" w:rsidRDefault="00355618" w:rsidP="00D578E6">
      <w:pPr>
        <w:pStyle w:val="Geenafstand"/>
      </w:pPr>
      <w:r w:rsidRPr="00D578E6">
        <w:t xml:space="preserve">De accountant heeft verder de mogelijkheid om in verkorte vorm te rapporteren wanneer geen gebeurtenissen of omstandigheden bestaan die gerede twijfel kunnen doen ontstaan over de mogelijkheid van de entiteit om haar continuïteit te handhaven die van de accountant significante aandacht vereisen bij het uitvoeren van de controle (Standaard 700.A41A). </w:t>
      </w:r>
    </w:p>
    <w:p w14:paraId="32E416C9" w14:textId="77777777" w:rsidR="00355618" w:rsidRPr="00D578E6" w:rsidRDefault="00355618" w:rsidP="00D578E6">
      <w:pPr>
        <w:pStyle w:val="Geenafstand"/>
      </w:pPr>
    </w:p>
    <w:p w14:paraId="7F1898DB" w14:textId="23A5B726" w:rsidR="00461A87" w:rsidRPr="00D578E6" w:rsidRDefault="005E762C" w:rsidP="00D578E6">
      <w:pPr>
        <w:pStyle w:val="Geenafstand"/>
      </w:pPr>
      <w:r w:rsidRPr="00D578E6">
        <w:t>Indien er geen</w:t>
      </w:r>
      <w:r w:rsidR="00461A87" w:rsidRPr="00D578E6">
        <w:t xml:space="preserve"> frauderisico’s </w:t>
      </w:r>
      <w:r w:rsidRPr="00D578E6">
        <w:t xml:space="preserve">zijn </w:t>
      </w:r>
      <w:r w:rsidR="00461A87" w:rsidRPr="00D578E6">
        <w:t>die kunnen leiden tot een afwijking van materieel belang</w:t>
      </w:r>
      <w:r w:rsidRPr="00D578E6">
        <w:t xml:space="preserve"> en die van de accountant significante aandacht vereisten bij het uitvoeren van de controle,</w:t>
      </w:r>
      <w:r w:rsidR="00461A87" w:rsidRPr="00D578E6">
        <w:t xml:space="preserve"> heeft de accountant de mogelijkheid om werkzaamheden en uitkomsten en/of waarnemingen in verkorte vorm </w:t>
      </w:r>
      <w:r w:rsidRPr="00D578E6">
        <w:t>op te nemen</w:t>
      </w:r>
      <w:r w:rsidR="00355618" w:rsidRPr="00D578E6">
        <w:t xml:space="preserve"> (Standaard 700.A41B).</w:t>
      </w:r>
    </w:p>
    <w:p w14:paraId="6D27014A" w14:textId="77777777" w:rsidR="00B57103" w:rsidRDefault="00B57103" w:rsidP="00D578E6">
      <w:pPr>
        <w:pStyle w:val="Geenafstand"/>
      </w:pPr>
    </w:p>
    <w:p w14:paraId="4F40B4A0" w14:textId="77777777" w:rsidR="007C75DE" w:rsidRDefault="00A63F6E" w:rsidP="00D578E6">
      <w:pPr>
        <w:pStyle w:val="Geenafstand"/>
        <w:rPr>
          <w:i/>
          <w:iCs/>
        </w:rPr>
      </w:pPr>
      <w:r>
        <w:rPr>
          <w:i/>
          <w:iCs/>
        </w:rPr>
        <w:t>Onderzoeksvra</w:t>
      </w:r>
      <w:r w:rsidR="007C75DE">
        <w:rPr>
          <w:i/>
          <w:iCs/>
        </w:rPr>
        <w:t>gen</w:t>
      </w:r>
      <w:r>
        <w:rPr>
          <w:i/>
          <w:iCs/>
        </w:rPr>
        <w:t xml:space="preserve">: </w:t>
      </w:r>
    </w:p>
    <w:p w14:paraId="4137DE28" w14:textId="338EA30C" w:rsidR="00D047DC" w:rsidRDefault="00D047DC" w:rsidP="00D578E6">
      <w:pPr>
        <w:pStyle w:val="Geenafstand"/>
        <w:numPr>
          <w:ilvl w:val="0"/>
          <w:numId w:val="19"/>
        </w:numPr>
        <w:rPr>
          <w:i/>
          <w:iCs/>
        </w:rPr>
      </w:pPr>
      <w:r>
        <w:rPr>
          <w:i/>
          <w:iCs/>
        </w:rPr>
        <w:t xml:space="preserve">Is </w:t>
      </w:r>
      <w:r w:rsidR="00FE7DBD">
        <w:rPr>
          <w:i/>
          <w:iCs/>
        </w:rPr>
        <w:t xml:space="preserve">het vanuit de </w:t>
      </w:r>
      <w:r w:rsidR="00221522">
        <w:rPr>
          <w:i/>
          <w:iCs/>
        </w:rPr>
        <w:t>S</w:t>
      </w:r>
      <w:r w:rsidR="00FE7DBD">
        <w:rPr>
          <w:i/>
          <w:iCs/>
        </w:rPr>
        <w:t xml:space="preserve">tandaard </w:t>
      </w:r>
      <w:r>
        <w:rPr>
          <w:i/>
          <w:iCs/>
        </w:rPr>
        <w:t>duidelijk wanneer verkort rapporteren mogelijk is</w:t>
      </w:r>
      <w:r w:rsidR="00FE7DBD">
        <w:rPr>
          <w:i/>
          <w:iCs/>
        </w:rPr>
        <w:t>?</w:t>
      </w:r>
    </w:p>
    <w:p w14:paraId="6F3E1902" w14:textId="4CD2DCB9" w:rsidR="00527BEF" w:rsidRDefault="00527BEF" w:rsidP="00D578E6">
      <w:pPr>
        <w:pStyle w:val="Geenafstand"/>
        <w:numPr>
          <w:ilvl w:val="0"/>
          <w:numId w:val="19"/>
        </w:numPr>
        <w:rPr>
          <w:i/>
          <w:iCs/>
        </w:rPr>
      </w:pPr>
      <w:r>
        <w:rPr>
          <w:i/>
          <w:iCs/>
        </w:rPr>
        <w:t xml:space="preserve">Is verkort rapporteren wenselijk vanuit transparantie oogpunt? </w:t>
      </w:r>
    </w:p>
    <w:p w14:paraId="5DF2A342" w14:textId="501F2EE5" w:rsidR="00D047DC" w:rsidRDefault="00D047DC" w:rsidP="00D578E6">
      <w:pPr>
        <w:pStyle w:val="Geenafstand"/>
        <w:numPr>
          <w:ilvl w:val="0"/>
          <w:numId w:val="19"/>
        </w:numPr>
        <w:rPr>
          <w:i/>
          <w:iCs/>
        </w:rPr>
      </w:pPr>
      <w:r>
        <w:rPr>
          <w:i/>
          <w:iCs/>
        </w:rPr>
        <w:t xml:space="preserve">Heeft u verkort rapporteren </w:t>
      </w:r>
      <w:r w:rsidR="00FE7DBD">
        <w:rPr>
          <w:i/>
          <w:iCs/>
        </w:rPr>
        <w:t xml:space="preserve">veel / weinig </w:t>
      </w:r>
      <w:r>
        <w:rPr>
          <w:i/>
          <w:iCs/>
        </w:rPr>
        <w:t>toegepast?</w:t>
      </w:r>
    </w:p>
    <w:p w14:paraId="110A5660" w14:textId="2DB61627" w:rsidR="00D047DC" w:rsidRDefault="00D047DC" w:rsidP="00D578E6">
      <w:pPr>
        <w:pStyle w:val="Geenafstand"/>
        <w:numPr>
          <w:ilvl w:val="1"/>
          <w:numId w:val="19"/>
        </w:numPr>
        <w:rPr>
          <w:i/>
          <w:iCs/>
        </w:rPr>
      </w:pPr>
      <w:r>
        <w:rPr>
          <w:i/>
          <w:iCs/>
        </w:rPr>
        <w:t xml:space="preserve">Zo ja, waarom </w:t>
      </w:r>
      <w:r w:rsidR="0003115D">
        <w:rPr>
          <w:i/>
          <w:iCs/>
        </w:rPr>
        <w:t xml:space="preserve">/ wanneer </w:t>
      </w:r>
      <w:r>
        <w:rPr>
          <w:i/>
          <w:iCs/>
        </w:rPr>
        <w:t xml:space="preserve">wel? </w:t>
      </w:r>
    </w:p>
    <w:p w14:paraId="205FDFCE" w14:textId="27970126" w:rsidR="00D047DC" w:rsidRDefault="00D047DC" w:rsidP="00D578E6">
      <w:pPr>
        <w:pStyle w:val="Geenafstand"/>
        <w:numPr>
          <w:ilvl w:val="1"/>
          <w:numId w:val="19"/>
        </w:numPr>
        <w:rPr>
          <w:i/>
          <w:iCs/>
        </w:rPr>
      </w:pPr>
      <w:r>
        <w:rPr>
          <w:i/>
          <w:iCs/>
        </w:rPr>
        <w:t xml:space="preserve">Zo nee, waarom </w:t>
      </w:r>
      <w:r w:rsidR="0003115D">
        <w:rPr>
          <w:i/>
          <w:iCs/>
        </w:rPr>
        <w:t xml:space="preserve">/ wanneer </w:t>
      </w:r>
      <w:r>
        <w:rPr>
          <w:i/>
          <w:iCs/>
        </w:rPr>
        <w:t>niet?</w:t>
      </w:r>
    </w:p>
    <w:p w14:paraId="181F62E6" w14:textId="769A653B" w:rsidR="00D047DC" w:rsidRDefault="00D047DC" w:rsidP="00D578E6">
      <w:pPr>
        <w:pStyle w:val="Geenafstand"/>
        <w:numPr>
          <w:ilvl w:val="0"/>
          <w:numId w:val="19"/>
        </w:numPr>
        <w:rPr>
          <w:i/>
          <w:iCs/>
        </w:rPr>
      </w:pPr>
      <w:r>
        <w:rPr>
          <w:i/>
          <w:iCs/>
        </w:rPr>
        <w:t xml:space="preserve">Waar heeft de </w:t>
      </w:r>
      <w:r w:rsidR="0003115D">
        <w:rPr>
          <w:i/>
          <w:iCs/>
        </w:rPr>
        <w:t xml:space="preserve">keuzemogelijkheid tot </w:t>
      </w:r>
      <w:r>
        <w:rPr>
          <w:i/>
          <w:iCs/>
        </w:rPr>
        <w:t>verkorte rapportering to</w:t>
      </w:r>
      <w:r w:rsidR="0003115D">
        <w:rPr>
          <w:i/>
          <w:iCs/>
        </w:rPr>
        <w:t xml:space="preserve">e </w:t>
      </w:r>
      <w:r>
        <w:rPr>
          <w:i/>
          <w:iCs/>
        </w:rPr>
        <w:t>geleid:</w:t>
      </w:r>
    </w:p>
    <w:p w14:paraId="3FF5195E" w14:textId="539ED7C9" w:rsidR="0003115D" w:rsidRPr="0003115D" w:rsidRDefault="00FE7DBD" w:rsidP="00D578E6">
      <w:pPr>
        <w:pStyle w:val="Geenafstand"/>
        <w:numPr>
          <w:ilvl w:val="1"/>
          <w:numId w:val="19"/>
        </w:numPr>
        <w:rPr>
          <w:i/>
          <w:iCs/>
        </w:rPr>
      </w:pPr>
      <w:r>
        <w:rPr>
          <w:i/>
          <w:iCs/>
        </w:rPr>
        <w:t>Achterwege laten</w:t>
      </w:r>
      <w:r w:rsidR="0003115D">
        <w:rPr>
          <w:i/>
          <w:iCs/>
        </w:rPr>
        <w:t xml:space="preserve"> van rapportering</w:t>
      </w:r>
      <w:r>
        <w:rPr>
          <w:i/>
          <w:iCs/>
        </w:rPr>
        <w:t xml:space="preserve"> over frauderisico’s zonder significante aandacht - </w:t>
      </w:r>
      <w:r w:rsidR="0003115D">
        <w:rPr>
          <w:i/>
          <w:iCs/>
        </w:rPr>
        <w:t xml:space="preserve"> met of zonder toelichting van de reden?</w:t>
      </w:r>
    </w:p>
    <w:p w14:paraId="5F2C0DA2" w14:textId="6F7968A1" w:rsidR="00EB29DD" w:rsidRPr="0003115D" w:rsidRDefault="00EB29DD" w:rsidP="00D578E6">
      <w:pPr>
        <w:pStyle w:val="Geenafstand"/>
        <w:numPr>
          <w:ilvl w:val="1"/>
          <w:numId w:val="19"/>
        </w:numPr>
        <w:rPr>
          <w:i/>
          <w:iCs/>
        </w:rPr>
      </w:pPr>
      <w:r>
        <w:rPr>
          <w:i/>
          <w:iCs/>
        </w:rPr>
        <w:t xml:space="preserve">Achterwege laten van </w:t>
      </w:r>
      <w:r w:rsidR="000B3AA4">
        <w:rPr>
          <w:i/>
          <w:iCs/>
        </w:rPr>
        <w:t>rapportering</w:t>
      </w:r>
      <w:r w:rsidR="00B17CF5">
        <w:rPr>
          <w:i/>
          <w:iCs/>
        </w:rPr>
        <w:t xml:space="preserve"> over het hanteren </w:t>
      </w:r>
      <w:r w:rsidR="009D5516">
        <w:rPr>
          <w:i/>
          <w:iCs/>
        </w:rPr>
        <w:t>door het</w:t>
      </w:r>
      <w:r w:rsidR="00B17CF5">
        <w:rPr>
          <w:i/>
          <w:iCs/>
        </w:rPr>
        <w:t xml:space="preserve"> management van de continu</w:t>
      </w:r>
      <w:r w:rsidR="002A2152">
        <w:rPr>
          <w:i/>
          <w:iCs/>
        </w:rPr>
        <w:t>ï</w:t>
      </w:r>
      <w:r w:rsidR="00B17CF5">
        <w:rPr>
          <w:i/>
          <w:iCs/>
        </w:rPr>
        <w:t>teitsveronderstelling</w:t>
      </w:r>
      <w:r w:rsidR="006B279F">
        <w:rPr>
          <w:i/>
          <w:iCs/>
        </w:rPr>
        <w:t xml:space="preserve"> met of zonder toelichting van reden?</w:t>
      </w:r>
    </w:p>
    <w:p w14:paraId="32EC6CBA" w14:textId="42656035" w:rsidR="00D047DC" w:rsidRDefault="0003115D" w:rsidP="00D578E6">
      <w:pPr>
        <w:pStyle w:val="Geenafstand"/>
        <w:numPr>
          <w:ilvl w:val="1"/>
          <w:numId w:val="19"/>
        </w:numPr>
        <w:rPr>
          <w:i/>
          <w:iCs/>
        </w:rPr>
      </w:pPr>
      <w:r>
        <w:rPr>
          <w:i/>
          <w:iCs/>
        </w:rPr>
        <w:t xml:space="preserve">Korte of </w:t>
      </w:r>
      <w:proofErr w:type="spellStart"/>
      <w:r>
        <w:rPr>
          <w:i/>
          <w:iCs/>
        </w:rPr>
        <w:t>b</w:t>
      </w:r>
      <w:r w:rsidR="00D047DC">
        <w:rPr>
          <w:i/>
          <w:iCs/>
        </w:rPr>
        <w:t>oilerplate</w:t>
      </w:r>
      <w:proofErr w:type="spellEnd"/>
      <w:r w:rsidR="00D047DC">
        <w:rPr>
          <w:i/>
          <w:iCs/>
        </w:rPr>
        <w:t xml:space="preserve"> </w:t>
      </w:r>
      <w:r>
        <w:rPr>
          <w:i/>
          <w:iCs/>
        </w:rPr>
        <w:t>teksten</w:t>
      </w:r>
      <w:r w:rsidR="00FE7DBD">
        <w:rPr>
          <w:i/>
          <w:iCs/>
        </w:rPr>
        <w:t>?</w:t>
      </w:r>
    </w:p>
    <w:p w14:paraId="503932B0" w14:textId="3B19D8C7" w:rsidR="00FE7DBD" w:rsidRDefault="00FE7DBD" w:rsidP="00D578E6">
      <w:pPr>
        <w:pStyle w:val="Geenafstand"/>
        <w:numPr>
          <w:ilvl w:val="1"/>
          <w:numId w:val="19"/>
        </w:numPr>
        <w:rPr>
          <w:i/>
          <w:iCs/>
        </w:rPr>
      </w:pPr>
      <w:r>
        <w:rPr>
          <w:i/>
          <w:iCs/>
        </w:rPr>
        <w:t xml:space="preserve">Anders? </w:t>
      </w:r>
    </w:p>
    <w:p w14:paraId="6FD7414B" w14:textId="0EAAA5E7" w:rsidR="00D047DC" w:rsidRDefault="008B212C" w:rsidP="00D578E6">
      <w:pPr>
        <w:pStyle w:val="Geenafstand"/>
        <w:numPr>
          <w:ilvl w:val="0"/>
          <w:numId w:val="19"/>
        </w:numPr>
        <w:rPr>
          <w:i/>
          <w:iCs/>
        </w:rPr>
      </w:pPr>
      <w:r>
        <w:rPr>
          <w:i/>
          <w:iCs/>
        </w:rPr>
        <w:t xml:space="preserve">Geeft verkorte rapportering </w:t>
      </w:r>
      <w:r w:rsidR="00F774B2">
        <w:rPr>
          <w:i/>
          <w:iCs/>
        </w:rPr>
        <w:t xml:space="preserve">– </w:t>
      </w:r>
      <w:r>
        <w:rPr>
          <w:i/>
          <w:iCs/>
        </w:rPr>
        <w:t xml:space="preserve">wel / geen </w:t>
      </w:r>
      <w:r w:rsidR="00F774B2">
        <w:rPr>
          <w:i/>
          <w:iCs/>
        </w:rPr>
        <w:t>/</w:t>
      </w:r>
      <w:r>
        <w:rPr>
          <w:i/>
          <w:iCs/>
        </w:rPr>
        <w:t xml:space="preserve"> beperkt</w:t>
      </w:r>
      <w:r w:rsidR="00F774B2">
        <w:rPr>
          <w:i/>
          <w:iCs/>
        </w:rPr>
        <w:t xml:space="preserve"> - </w:t>
      </w:r>
      <w:r>
        <w:rPr>
          <w:i/>
          <w:iCs/>
        </w:rPr>
        <w:t xml:space="preserve"> inzicht in hoe de accountant </w:t>
      </w:r>
      <w:r w:rsidR="000C6A7B">
        <w:rPr>
          <w:i/>
          <w:iCs/>
        </w:rPr>
        <w:t>heeft</w:t>
      </w:r>
      <w:r>
        <w:rPr>
          <w:i/>
          <w:iCs/>
        </w:rPr>
        <w:t xml:space="preserve"> ingespeeld op de risico’s</w:t>
      </w:r>
      <w:r w:rsidR="00FC6E5B">
        <w:rPr>
          <w:i/>
          <w:iCs/>
        </w:rPr>
        <w:t xml:space="preserve"> </w:t>
      </w:r>
      <w:r>
        <w:rPr>
          <w:i/>
          <w:iCs/>
        </w:rPr>
        <w:t xml:space="preserve">van continuïteit en fraude? </w:t>
      </w:r>
    </w:p>
    <w:p w14:paraId="370343F2" w14:textId="77777777" w:rsidR="00D77441" w:rsidRDefault="00D77441" w:rsidP="00D578E6">
      <w:pPr>
        <w:pStyle w:val="Lijstalinea"/>
      </w:pPr>
    </w:p>
    <w:p w14:paraId="72516100" w14:textId="3B883BE3" w:rsidR="00D77441" w:rsidRPr="00B57103" w:rsidRDefault="00D77441" w:rsidP="00D578E6">
      <w:pPr>
        <w:pStyle w:val="Geenafstand"/>
        <w:rPr>
          <w:b/>
          <w:bCs/>
        </w:rPr>
      </w:pPr>
      <w:r w:rsidRPr="00B57103">
        <w:rPr>
          <w:rFonts w:ascii="f1k1ujbb-14gi-eay-1kwo6vgaau9pf" w:eastAsiaTheme="minorHAnsi" w:hAnsi="f1k1ujbb-14gi-eay-1kwo6vgaau9pf" w:cs="f1k1ujbb-14gi-eay-1kwo6vgaau9pf"/>
          <w:b/>
          <w:bCs/>
          <w:i/>
          <w:iCs/>
          <w:sz w:val="21"/>
          <w:szCs w:val="21"/>
        </w:rPr>
        <w:t>Toevoegen bevindingen</w:t>
      </w:r>
      <w:r w:rsidR="00D6298E">
        <w:rPr>
          <w:rFonts w:ascii="f1k1ujbb-14gi-eay-1kwo6vgaau9pf" w:eastAsiaTheme="minorHAnsi" w:hAnsi="f1k1ujbb-14gi-eay-1kwo6vgaau9pf" w:cs="f1k1ujbb-14gi-eay-1kwo6vgaau9pf"/>
          <w:b/>
          <w:bCs/>
          <w:i/>
          <w:iCs/>
          <w:sz w:val="21"/>
          <w:szCs w:val="21"/>
        </w:rPr>
        <w:t xml:space="preserve"> (belangrijke waarnemingen </w:t>
      </w:r>
      <w:r w:rsidRPr="00B57103">
        <w:rPr>
          <w:rFonts w:ascii="f1k1ujbb-14gi-eay-1kwo6vgaau9pf" w:eastAsiaTheme="minorHAnsi" w:hAnsi="f1k1ujbb-14gi-eay-1kwo6vgaau9pf" w:cs="f1k1ujbb-14gi-eay-1kwo6vgaau9pf"/>
          <w:b/>
          <w:bCs/>
          <w:i/>
          <w:iCs/>
          <w:sz w:val="21"/>
          <w:szCs w:val="21"/>
        </w:rPr>
        <w:t>/uitkomsten</w:t>
      </w:r>
      <w:r w:rsidR="00F774B2" w:rsidRPr="00B57103">
        <w:rPr>
          <w:rFonts w:ascii="f1k1ujbb-14gi-eay-1kwo6vgaau9pf" w:eastAsiaTheme="minorHAnsi" w:hAnsi="f1k1ujbb-14gi-eay-1kwo6vgaau9pf" w:cs="f1k1ujbb-14gi-eay-1kwo6vgaau9pf"/>
          <w:b/>
          <w:bCs/>
          <w:i/>
          <w:iCs/>
          <w:sz w:val="21"/>
          <w:szCs w:val="21"/>
        </w:rPr>
        <w:t xml:space="preserve"> </w:t>
      </w:r>
      <w:r w:rsidR="00D6298E">
        <w:rPr>
          <w:rFonts w:ascii="f1k1ujbb-14gi-eay-1kwo6vgaau9pf" w:eastAsiaTheme="minorHAnsi" w:hAnsi="f1k1ujbb-14gi-eay-1kwo6vgaau9pf" w:cs="f1k1ujbb-14gi-eay-1kwo6vgaau9pf"/>
          <w:b/>
          <w:bCs/>
          <w:i/>
          <w:iCs/>
          <w:sz w:val="21"/>
          <w:szCs w:val="21"/>
        </w:rPr>
        <w:t>van de werkzaamheden</w:t>
      </w:r>
      <w:r w:rsidR="006B37A9">
        <w:rPr>
          <w:rFonts w:ascii="f1k1ujbb-14gi-eay-1kwo6vgaau9pf" w:eastAsiaTheme="minorHAnsi" w:hAnsi="f1k1ujbb-14gi-eay-1kwo6vgaau9pf" w:cs="f1k1ujbb-14gi-eay-1kwo6vgaau9pf"/>
          <w:b/>
          <w:bCs/>
          <w:i/>
          <w:iCs/>
          <w:sz w:val="21"/>
          <w:szCs w:val="21"/>
        </w:rPr>
        <w:t>)</w:t>
      </w:r>
      <w:r w:rsidR="00D6298E">
        <w:rPr>
          <w:rFonts w:ascii="f1k1ujbb-14gi-eay-1kwo6vgaau9pf" w:eastAsiaTheme="minorHAnsi" w:hAnsi="f1k1ujbb-14gi-eay-1kwo6vgaau9pf" w:cs="f1k1ujbb-14gi-eay-1kwo6vgaau9pf"/>
          <w:b/>
          <w:bCs/>
          <w:i/>
          <w:iCs/>
          <w:sz w:val="21"/>
          <w:szCs w:val="21"/>
        </w:rPr>
        <w:t xml:space="preserve"> </w:t>
      </w:r>
      <w:r w:rsidR="00F774B2" w:rsidRPr="00B57103">
        <w:rPr>
          <w:rFonts w:ascii="f1k1ujbb-14gi-eay-1kwo6vgaau9pf" w:eastAsiaTheme="minorHAnsi" w:hAnsi="f1k1ujbb-14gi-eay-1kwo6vgaau9pf" w:cs="f1k1ujbb-14gi-eay-1kwo6vgaau9pf"/>
          <w:b/>
          <w:bCs/>
          <w:i/>
          <w:iCs/>
          <w:sz w:val="21"/>
          <w:szCs w:val="21"/>
        </w:rPr>
        <w:t>en geheimhouding</w:t>
      </w:r>
    </w:p>
    <w:p w14:paraId="2D05EE2F" w14:textId="229F0A20" w:rsidR="00F774B2" w:rsidRDefault="00BA5B52" w:rsidP="00D578E6">
      <w:pPr>
        <w:pStyle w:val="Geenafstand"/>
      </w:pPr>
      <w:r>
        <w:t xml:space="preserve">Rapportering over waarnemingen en observaties is </w:t>
      </w:r>
      <w:r w:rsidR="00F774B2">
        <w:t xml:space="preserve">als onderdeel van de elementen in de A-paragraaf van de </w:t>
      </w:r>
      <w:r w:rsidR="00221522">
        <w:t>S</w:t>
      </w:r>
      <w:r w:rsidR="00F774B2">
        <w:t>tandaa</w:t>
      </w:r>
      <w:r w:rsidR="00DA4204">
        <w:t>r</w:t>
      </w:r>
      <w:r w:rsidR="00F774B2">
        <w:t xml:space="preserve">d </w:t>
      </w:r>
      <w:r>
        <w:t>niet verplicht gesteld maar optioneel toe te passen</w:t>
      </w:r>
      <w:r w:rsidR="007C75DE">
        <w:t xml:space="preserve">. </w:t>
      </w:r>
      <w:r w:rsidR="00F774B2">
        <w:t xml:space="preserve">De accountant kan daarbij eigen afwegingen maken en kan afhankelijk van specifieke omstandigheden ook voor andere elementen kiezen dan benoemd in de </w:t>
      </w:r>
      <w:r w:rsidR="00221522">
        <w:t>S</w:t>
      </w:r>
      <w:r w:rsidR="00F774B2">
        <w:t xml:space="preserve">tandaard. Bij die afwegingen kan de accountant zich beroepen op bepalingen </w:t>
      </w:r>
      <w:r w:rsidR="00527BEF">
        <w:t xml:space="preserve">in </w:t>
      </w:r>
      <w:r w:rsidR="008709BD">
        <w:t>de</w:t>
      </w:r>
      <w:r w:rsidR="00F774B2">
        <w:t xml:space="preserve"> paragraf</w:t>
      </w:r>
      <w:r w:rsidR="008709BD">
        <w:t>en</w:t>
      </w:r>
      <w:r w:rsidR="00F774B2">
        <w:t xml:space="preserve"> 700.29</w:t>
      </w:r>
      <w:r w:rsidR="00E113A1">
        <w:t>A</w:t>
      </w:r>
      <w:r w:rsidR="00EC696F">
        <w:t xml:space="preserve"> </w:t>
      </w:r>
      <w:r w:rsidR="00527BEF">
        <w:t xml:space="preserve">en B </w:t>
      </w:r>
      <w:r w:rsidR="00F774B2">
        <w:t xml:space="preserve">die ertoe leiden dat de accountant niet uitgebreid rapporteert: </w:t>
      </w:r>
    </w:p>
    <w:p w14:paraId="578F3E97" w14:textId="77777777" w:rsidR="00F774B2" w:rsidRDefault="00F774B2" w:rsidP="00D578E6">
      <w:pPr>
        <w:pStyle w:val="Geenafstand"/>
        <w:numPr>
          <w:ilvl w:val="0"/>
          <w:numId w:val="18"/>
        </w:numPr>
      </w:pPr>
      <w:r>
        <w:t xml:space="preserve">wet- of regelgeving openbaarmaking van de aangelegenheid verhindert; </w:t>
      </w:r>
    </w:p>
    <w:p w14:paraId="2D610591" w14:textId="663B91E0" w:rsidR="00F774B2" w:rsidRDefault="00F774B2" w:rsidP="00D578E6">
      <w:pPr>
        <w:pStyle w:val="Geenafstand"/>
        <w:numPr>
          <w:ilvl w:val="0"/>
          <w:numId w:val="18"/>
        </w:numPr>
      </w:pPr>
      <w:r>
        <w:t xml:space="preserve">of b in buitengewoon zeldzame omstandigheden de accountant bepaalt dat de aangelegenheid niet gecommuniceerd dient te worden in de controleverklaring omdat redelijkerwijs verwacht wordt dat de nadelige gevolgen van dergelijke communicatie groter zijn dan de voordelen voor het maatschappelijk verkeer. Dit is niet van toepassing indien de entiteit </w:t>
      </w:r>
      <w:r w:rsidR="00235F0E">
        <w:t xml:space="preserve">zelf </w:t>
      </w:r>
      <w:r>
        <w:t xml:space="preserve">informatie over de aangelegenheid </w:t>
      </w:r>
      <w:r w:rsidRPr="000C28CE">
        <w:t>openbaar</w:t>
      </w:r>
      <w:r>
        <w:t xml:space="preserve"> heeft gemaakt.</w:t>
      </w:r>
    </w:p>
    <w:p w14:paraId="422A5DAC" w14:textId="77777777" w:rsidR="00B57103" w:rsidRDefault="00B57103" w:rsidP="00D578E6">
      <w:pPr>
        <w:pStyle w:val="Geenafstand"/>
        <w:ind w:left="360"/>
      </w:pPr>
    </w:p>
    <w:p w14:paraId="68A2D56D" w14:textId="77777777" w:rsidR="007C75DE" w:rsidRDefault="007C75DE" w:rsidP="00D578E6">
      <w:pPr>
        <w:pStyle w:val="Geenafstand"/>
        <w:rPr>
          <w:i/>
          <w:iCs/>
        </w:rPr>
      </w:pPr>
      <w:r>
        <w:rPr>
          <w:i/>
          <w:iCs/>
        </w:rPr>
        <w:t xml:space="preserve">Onderzoeksvragen: </w:t>
      </w:r>
    </w:p>
    <w:p w14:paraId="0DA9B88D" w14:textId="3FF2436D" w:rsidR="007338A6" w:rsidRDefault="007338A6" w:rsidP="0DF967A2">
      <w:pPr>
        <w:pStyle w:val="Geenafstand"/>
        <w:numPr>
          <w:ilvl w:val="0"/>
          <w:numId w:val="19"/>
        </w:numPr>
        <w:rPr>
          <w:i/>
          <w:iCs/>
        </w:rPr>
      </w:pPr>
      <w:r w:rsidRPr="0DF967A2">
        <w:rPr>
          <w:i/>
          <w:iCs/>
        </w:rPr>
        <w:lastRenderedPageBreak/>
        <w:t>Hoe is de praktijk omgegaan met rapporteren over</w:t>
      </w:r>
      <w:r w:rsidR="005866C8">
        <w:rPr>
          <w:i/>
          <w:iCs/>
        </w:rPr>
        <w:t xml:space="preserve"> bevindingen (</w:t>
      </w:r>
      <w:r w:rsidR="00D6298E">
        <w:rPr>
          <w:i/>
          <w:iCs/>
        </w:rPr>
        <w:t xml:space="preserve">belangrijke </w:t>
      </w:r>
      <w:r w:rsidRPr="0DF967A2">
        <w:rPr>
          <w:i/>
          <w:iCs/>
        </w:rPr>
        <w:t xml:space="preserve">waarnemingen </w:t>
      </w:r>
      <w:r w:rsidR="007F696B">
        <w:rPr>
          <w:i/>
          <w:iCs/>
        </w:rPr>
        <w:t xml:space="preserve">en uitkomsten </w:t>
      </w:r>
      <w:r w:rsidR="005866C8">
        <w:rPr>
          <w:i/>
          <w:iCs/>
        </w:rPr>
        <w:t>van de werkzaamheden</w:t>
      </w:r>
      <w:r w:rsidR="00261A07">
        <w:rPr>
          <w:i/>
          <w:iCs/>
        </w:rPr>
        <w:t>)</w:t>
      </w:r>
      <w:r w:rsidRPr="0DF967A2">
        <w:rPr>
          <w:i/>
          <w:iCs/>
        </w:rPr>
        <w:t xml:space="preserve">: </w:t>
      </w:r>
    </w:p>
    <w:p w14:paraId="6AEF2CDE" w14:textId="4E8F6E04" w:rsidR="007338A6" w:rsidRDefault="007338A6" w:rsidP="00D578E6">
      <w:pPr>
        <w:pStyle w:val="Geenafstand"/>
        <w:numPr>
          <w:ilvl w:val="1"/>
          <w:numId w:val="19"/>
        </w:numPr>
        <w:rPr>
          <w:i/>
          <w:iCs/>
        </w:rPr>
      </w:pPr>
      <w:r>
        <w:rPr>
          <w:i/>
          <w:iCs/>
        </w:rPr>
        <w:t xml:space="preserve">Wat zijn de positieve ervaringen en waar heeft dit toe geleid? </w:t>
      </w:r>
    </w:p>
    <w:p w14:paraId="0D440F01" w14:textId="4D3F8C36" w:rsidR="007338A6" w:rsidRDefault="007338A6" w:rsidP="00D578E6">
      <w:pPr>
        <w:pStyle w:val="Geenafstand"/>
        <w:numPr>
          <w:ilvl w:val="1"/>
          <w:numId w:val="19"/>
        </w:numPr>
        <w:rPr>
          <w:i/>
          <w:iCs/>
        </w:rPr>
      </w:pPr>
      <w:r>
        <w:rPr>
          <w:i/>
          <w:iCs/>
        </w:rPr>
        <w:t xml:space="preserve">Wat zijn de negatieve ervaringen en waar heeft dit toe geleid? </w:t>
      </w:r>
    </w:p>
    <w:p w14:paraId="1B0151D2" w14:textId="027C904F" w:rsidR="007338A6" w:rsidRDefault="007338A6" w:rsidP="0095506E">
      <w:pPr>
        <w:pStyle w:val="Geenafstand"/>
        <w:numPr>
          <w:ilvl w:val="0"/>
          <w:numId w:val="19"/>
        </w:numPr>
        <w:rPr>
          <w:i/>
          <w:iCs/>
        </w:rPr>
      </w:pPr>
      <w:r w:rsidRPr="0095506E">
        <w:rPr>
          <w:i/>
          <w:iCs/>
        </w:rPr>
        <w:t xml:space="preserve">Heeft dit geleid tot meer uitgebreide rapportering door entiteiten in jaarrekening en </w:t>
      </w:r>
      <w:r w:rsidR="54F3A1A1" w:rsidRPr="0095506E">
        <w:rPr>
          <w:i/>
          <w:iCs/>
        </w:rPr>
        <w:t>/</w:t>
      </w:r>
      <w:r w:rsidRPr="0095506E">
        <w:rPr>
          <w:i/>
          <w:iCs/>
        </w:rPr>
        <w:t xml:space="preserve"> of jaarverslag? </w:t>
      </w:r>
    </w:p>
    <w:p w14:paraId="60DB8628" w14:textId="77777777" w:rsidR="00F774B2" w:rsidRDefault="00F774B2" w:rsidP="00D578E6">
      <w:pPr>
        <w:pStyle w:val="Geenafstand"/>
        <w:numPr>
          <w:ilvl w:val="0"/>
          <w:numId w:val="19"/>
        </w:numPr>
        <w:rPr>
          <w:i/>
          <w:iCs/>
        </w:rPr>
      </w:pPr>
      <w:r>
        <w:rPr>
          <w:i/>
          <w:iCs/>
        </w:rPr>
        <w:t xml:space="preserve">Hoe heeft geheimhouding een rol gespeeld bij de rapportering door de accountant? </w:t>
      </w:r>
    </w:p>
    <w:p w14:paraId="2649EBD7" w14:textId="334AF9F0" w:rsidR="007C75DE" w:rsidRDefault="007C75DE" w:rsidP="00D578E6">
      <w:pPr>
        <w:pStyle w:val="Geenafstand"/>
        <w:numPr>
          <w:ilvl w:val="0"/>
          <w:numId w:val="19"/>
        </w:numPr>
        <w:rPr>
          <w:i/>
          <w:iCs/>
        </w:rPr>
      </w:pPr>
      <w:r>
        <w:rPr>
          <w:i/>
          <w:iCs/>
        </w:rPr>
        <w:t xml:space="preserve">Moeten we rapporteren over </w:t>
      </w:r>
      <w:r w:rsidR="006B37A9">
        <w:rPr>
          <w:i/>
          <w:iCs/>
        </w:rPr>
        <w:t>bevindingen (b</w:t>
      </w:r>
      <w:r w:rsidR="00D6298E">
        <w:rPr>
          <w:i/>
          <w:iCs/>
        </w:rPr>
        <w:t xml:space="preserve">elangrijke </w:t>
      </w:r>
      <w:r>
        <w:rPr>
          <w:i/>
          <w:iCs/>
        </w:rPr>
        <w:t>waarnemingen</w:t>
      </w:r>
      <w:r w:rsidR="005866C8">
        <w:rPr>
          <w:i/>
          <w:iCs/>
        </w:rPr>
        <w:t xml:space="preserve"> en uitkomsten</w:t>
      </w:r>
      <w:r w:rsidR="00D6298E">
        <w:rPr>
          <w:i/>
          <w:iCs/>
        </w:rPr>
        <w:t xml:space="preserve"> van de werkzaamheden</w:t>
      </w:r>
      <w:r w:rsidR="00CD28AB">
        <w:rPr>
          <w:i/>
          <w:iCs/>
        </w:rPr>
        <w:t>)</w:t>
      </w:r>
      <w:r>
        <w:rPr>
          <w:i/>
          <w:iCs/>
        </w:rPr>
        <w:t xml:space="preserve"> verplichten?</w:t>
      </w:r>
    </w:p>
    <w:p w14:paraId="63C3C67F" w14:textId="4EBDFAF1" w:rsidR="007C75DE" w:rsidRPr="00527BEF" w:rsidRDefault="00F774B2" w:rsidP="00D578E6">
      <w:pPr>
        <w:pStyle w:val="Geenafstand"/>
        <w:numPr>
          <w:ilvl w:val="0"/>
          <w:numId w:val="19"/>
        </w:numPr>
        <w:rPr>
          <w:i/>
          <w:iCs/>
        </w:rPr>
      </w:pPr>
      <w:r>
        <w:rPr>
          <w:i/>
          <w:iCs/>
        </w:rPr>
        <w:t xml:space="preserve">Moeten de uitzonderingsbepalingen in </w:t>
      </w:r>
      <w:proofErr w:type="spellStart"/>
      <w:r>
        <w:rPr>
          <w:i/>
          <w:iCs/>
        </w:rPr>
        <w:t>std</w:t>
      </w:r>
      <w:proofErr w:type="spellEnd"/>
      <w:r>
        <w:rPr>
          <w:i/>
          <w:iCs/>
        </w:rPr>
        <w:t xml:space="preserve"> 700.A41</w:t>
      </w:r>
      <w:r w:rsidR="009003D8">
        <w:rPr>
          <w:i/>
          <w:iCs/>
        </w:rPr>
        <w:t xml:space="preserve">A en </w:t>
      </w:r>
      <w:r>
        <w:rPr>
          <w:i/>
          <w:iCs/>
        </w:rPr>
        <w:t xml:space="preserve">B gehandhaafd blijven? </w:t>
      </w:r>
    </w:p>
    <w:p w14:paraId="55A3F327" w14:textId="77777777" w:rsidR="00D25436" w:rsidRDefault="00D25436" w:rsidP="00D578E6">
      <w:pPr>
        <w:pStyle w:val="Geenafstand"/>
        <w:rPr>
          <w:b/>
          <w:bCs/>
          <w:i/>
          <w:iCs/>
        </w:rPr>
      </w:pPr>
    </w:p>
    <w:p w14:paraId="15065A92" w14:textId="354C92AE" w:rsidR="009D344C" w:rsidRPr="00B57103" w:rsidRDefault="009D344C" w:rsidP="00D578E6">
      <w:pPr>
        <w:pStyle w:val="Geenafstand"/>
        <w:rPr>
          <w:b/>
          <w:bCs/>
          <w:i/>
          <w:iCs/>
        </w:rPr>
      </w:pPr>
      <w:r w:rsidRPr="00B57103">
        <w:rPr>
          <w:b/>
          <w:bCs/>
          <w:i/>
          <w:iCs/>
        </w:rPr>
        <w:t>Kernpunt versus sectie controleaanpak</w:t>
      </w:r>
    </w:p>
    <w:p w14:paraId="5A8EDFBB" w14:textId="165827A7" w:rsidR="007D380F" w:rsidRDefault="009D0351" w:rsidP="00D578E6">
      <w:pPr>
        <w:pStyle w:val="Geenafstand"/>
      </w:pPr>
      <w:r w:rsidRPr="008A5016">
        <w:t xml:space="preserve">Kernpunten in de controle zijn de aangelegenheden die, in de professionele oordeelsvorming van de accountant, het meest significant waren bij de controle van de financiële overzichten van de huidige verslagperiode (Standaard 701.8). </w:t>
      </w:r>
      <w:r w:rsidR="007D380F">
        <w:t xml:space="preserve">Voor </w:t>
      </w:r>
      <w:proofErr w:type="spellStart"/>
      <w:r w:rsidR="007D380F">
        <w:t>oob’s</w:t>
      </w:r>
      <w:proofErr w:type="spellEnd"/>
      <w:r w:rsidR="007D380F">
        <w:t xml:space="preserve"> bestaat de mogelijkheid</w:t>
      </w:r>
      <w:r w:rsidR="003B6D6F" w:rsidRPr="003B6D6F">
        <w:t xml:space="preserve"> </w:t>
      </w:r>
      <w:r w:rsidR="003B6D6F" w:rsidRPr="008A5016">
        <w:t>over continuïteit en fraude</w:t>
      </w:r>
      <w:r w:rsidR="007D380F" w:rsidRPr="003B6D6F">
        <w:t xml:space="preserve"> </w:t>
      </w:r>
      <w:r w:rsidR="007D380F">
        <w:t>te rapporteren in afzonderlijke secties dan wel</w:t>
      </w:r>
      <w:r w:rsidR="00F774B2">
        <w:t xml:space="preserve"> de rapportering te integreren </w:t>
      </w:r>
      <w:r w:rsidR="007D380F">
        <w:t>in de kernpunten van de controle</w:t>
      </w:r>
      <w:r w:rsidR="003B6D6F">
        <w:t xml:space="preserve">, indien de aangelegenheid een kernpunt betreft. </w:t>
      </w:r>
      <w:r w:rsidR="007D380F">
        <w:t xml:space="preserve">Standaard 701 inzake rapportering in kernpunten van de controle is niet aangepast en blijft onverkort van toepassing voor </w:t>
      </w:r>
      <w:proofErr w:type="spellStart"/>
      <w:r w:rsidR="007D380F">
        <w:t>oob’s</w:t>
      </w:r>
      <w:proofErr w:type="spellEnd"/>
      <w:r w:rsidR="007D380F">
        <w:t xml:space="preserve">. </w:t>
      </w:r>
    </w:p>
    <w:p w14:paraId="3629E672" w14:textId="3C442F7E" w:rsidR="007D380F" w:rsidRDefault="007D380F" w:rsidP="00D578E6">
      <w:pPr>
        <w:pStyle w:val="Geenafstand"/>
        <w:numPr>
          <w:ilvl w:val="0"/>
          <w:numId w:val="18"/>
        </w:numPr>
      </w:pPr>
      <w:r>
        <w:t xml:space="preserve">Dit betekent dat indien sprake is van een frauderisico </w:t>
      </w:r>
      <w:r w:rsidR="00D52A36">
        <w:t>respectievelijk een</w:t>
      </w:r>
      <w:r w:rsidR="0019380F">
        <w:t xml:space="preserve"> </w:t>
      </w:r>
      <w:r w:rsidR="00973F5F">
        <w:t xml:space="preserve">significante aangelegenheid t.a.v. de </w:t>
      </w:r>
      <w:r w:rsidR="00DF1197">
        <w:t>continuïteit</w:t>
      </w:r>
      <w:r w:rsidR="00973F5F">
        <w:t xml:space="preserve"> bij de controle</w:t>
      </w:r>
      <w:r w:rsidR="00D52A36">
        <w:t xml:space="preserve"> </w:t>
      </w:r>
      <w:r>
        <w:t xml:space="preserve">en dit risico overlap kent met een kernpunt (Standaard 701), dan kan </w:t>
      </w:r>
      <w:r w:rsidR="00721CF4">
        <w:t>de accountant kiezen om</w:t>
      </w:r>
      <w:r>
        <w:t xml:space="preserve"> de sectie ‘Controleaanpak frauderisico’s' </w:t>
      </w:r>
      <w:r w:rsidR="00741F4D">
        <w:t xml:space="preserve">resp. de sectie </w:t>
      </w:r>
      <w:r w:rsidR="00F8607B">
        <w:t>‘C</w:t>
      </w:r>
      <w:r w:rsidR="00741F4D">
        <w:t xml:space="preserve">ontroleaanpak </w:t>
      </w:r>
      <w:r w:rsidR="008A636C">
        <w:t xml:space="preserve">continuïteit’ </w:t>
      </w:r>
      <w:r>
        <w:t xml:space="preserve">achterwege te laten en de beschrijving van de aanpak van het frauderisico </w:t>
      </w:r>
      <w:r w:rsidR="00DF1197">
        <w:t>resp. de significante aangelegenheid t.a.v. continu</w:t>
      </w:r>
      <w:r w:rsidR="00527BEF">
        <w:t>ï</w:t>
      </w:r>
      <w:r w:rsidR="00DF1197">
        <w:t>teit</w:t>
      </w:r>
      <w:r>
        <w:t xml:space="preserve"> te integreren met de beschrijving in de sectie kernpunten van de controle (Standaard 700.29</w:t>
      </w:r>
      <w:r w:rsidR="002E18F7">
        <w:t>A en</w:t>
      </w:r>
      <w:r w:rsidR="00527BEF">
        <w:t xml:space="preserve"> </w:t>
      </w:r>
      <w:r>
        <w:t xml:space="preserve">B). </w:t>
      </w:r>
    </w:p>
    <w:p w14:paraId="53CC2AB2" w14:textId="25A84EC3" w:rsidR="007D380F" w:rsidRDefault="007D380F" w:rsidP="00D578E6">
      <w:pPr>
        <w:pStyle w:val="Geenafstand"/>
        <w:numPr>
          <w:ilvl w:val="0"/>
          <w:numId w:val="18"/>
        </w:numPr>
      </w:pPr>
      <w:r>
        <w:t xml:space="preserve">Daarnaast is het ook mogelijk om een sectie ‘Controleaanpak frauderisico’s’ </w:t>
      </w:r>
      <w:r w:rsidR="00F8607B">
        <w:t xml:space="preserve">respectievelijk </w:t>
      </w:r>
      <w:r>
        <w:t xml:space="preserve"> </w:t>
      </w:r>
      <w:r w:rsidR="00F8607B">
        <w:t xml:space="preserve">‘Controleaanpak continuïteit’ </w:t>
      </w:r>
      <w:r>
        <w:t xml:space="preserve">op te nemen en voor het desbetreffende frauderisico </w:t>
      </w:r>
      <w:r w:rsidR="00D41824">
        <w:t>resp. de significante aangelegenheid t.a.v. continuïteit</w:t>
      </w:r>
      <w:r>
        <w:t xml:space="preserve"> in deze sectie te verwijzen naar het kernpunt. </w:t>
      </w:r>
    </w:p>
    <w:p w14:paraId="52F26E1F" w14:textId="77777777" w:rsidR="00B57103" w:rsidRDefault="00B57103" w:rsidP="00D578E6">
      <w:pPr>
        <w:pStyle w:val="Geenafstand"/>
        <w:ind w:left="360"/>
      </w:pPr>
    </w:p>
    <w:p w14:paraId="3B81ABDF" w14:textId="0ED247BE" w:rsidR="00F774B2" w:rsidRDefault="00D449E0" w:rsidP="00D578E6">
      <w:pPr>
        <w:pStyle w:val="Geenafstand"/>
        <w:rPr>
          <w:i/>
          <w:iCs/>
        </w:rPr>
      </w:pPr>
      <w:r w:rsidRPr="003D6891">
        <w:rPr>
          <w:i/>
          <w:iCs/>
        </w:rPr>
        <w:t>Onderzoeksvra</w:t>
      </w:r>
      <w:r w:rsidR="00F774B2">
        <w:rPr>
          <w:i/>
          <w:iCs/>
        </w:rPr>
        <w:t>gen</w:t>
      </w:r>
      <w:r w:rsidRPr="003D6891">
        <w:rPr>
          <w:i/>
          <w:iCs/>
        </w:rPr>
        <w:t xml:space="preserve">: </w:t>
      </w:r>
    </w:p>
    <w:p w14:paraId="1D5749FF" w14:textId="4DC04CB9" w:rsidR="002C79BF" w:rsidRDefault="002C79BF" w:rsidP="0095506E">
      <w:pPr>
        <w:pStyle w:val="Geenafstand"/>
        <w:numPr>
          <w:ilvl w:val="0"/>
          <w:numId w:val="18"/>
        </w:numPr>
        <w:rPr>
          <w:i/>
          <w:iCs/>
        </w:rPr>
      </w:pPr>
      <w:r w:rsidRPr="0095506E">
        <w:rPr>
          <w:i/>
          <w:iCs/>
        </w:rPr>
        <w:t xml:space="preserve">Is het duidelijk hoe de </w:t>
      </w:r>
      <w:r w:rsidR="00221522" w:rsidRPr="0095506E">
        <w:rPr>
          <w:i/>
          <w:iCs/>
        </w:rPr>
        <w:t>S</w:t>
      </w:r>
      <w:r w:rsidRPr="0095506E">
        <w:rPr>
          <w:i/>
          <w:iCs/>
        </w:rPr>
        <w:t xml:space="preserve">tandaard 700 in combinatie met </w:t>
      </w:r>
      <w:r w:rsidR="00221522" w:rsidRPr="0095506E">
        <w:rPr>
          <w:i/>
          <w:iCs/>
        </w:rPr>
        <w:t>S</w:t>
      </w:r>
      <w:r w:rsidRPr="0095506E">
        <w:rPr>
          <w:i/>
          <w:iCs/>
        </w:rPr>
        <w:t xml:space="preserve">tandaard 701 voor </w:t>
      </w:r>
      <w:proofErr w:type="spellStart"/>
      <w:r w:rsidRPr="0095506E">
        <w:rPr>
          <w:i/>
          <w:iCs/>
        </w:rPr>
        <w:t>oob’s</w:t>
      </w:r>
      <w:proofErr w:type="spellEnd"/>
      <w:r w:rsidRPr="0095506E">
        <w:rPr>
          <w:i/>
          <w:iCs/>
        </w:rPr>
        <w:t xml:space="preserve"> zou moeten worden toegepast?</w:t>
      </w:r>
    </w:p>
    <w:p w14:paraId="187A96C9" w14:textId="7BCD000E" w:rsidR="002C79BF" w:rsidRDefault="002C79BF" w:rsidP="00D578E6">
      <w:pPr>
        <w:pStyle w:val="Geenafstand"/>
        <w:numPr>
          <w:ilvl w:val="0"/>
          <w:numId w:val="18"/>
        </w:numPr>
        <w:rPr>
          <w:i/>
          <w:iCs/>
        </w:rPr>
      </w:pPr>
      <w:r>
        <w:rPr>
          <w:i/>
          <w:iCs/>
        </w:rPr>
        <w:t xml:space="preserve">Is de combinatie van rapportering in secties en in kernpunten transparant / overzichtelijk / duidelijk voor gebruikers? </w:t>
      </w:r>
    </w:p>
    <w:p w14:paraId="635C82A4" w14:textId="22B43EB3" w:rsidR="00F774B2" w:rsidRPr="002C79BF" w:rsidRDefault="00F774B2" w:rsidP="00D578E6">
      <w:pPr>
        <w:pStyle w:val="Geenafstand"/>
        <w:numPr>
          <w:ilvl w:val="0"/>
          <w:numId w:val="18"/>
        </w:numPr>
        <w:rPr>
          <w:i/>
          <w:iCs/>
        </w:rPr>
      </w:pPr>
      <w:r w:rsidRPr="002C79BF">
        <w:rPr>
          <w:i/>
          <w:iCs/>
        </w:rPr>
        <w:t xml:space="preserve">Hoe </w:t>
      </w:r>
      <w:r w:rsidR="002C79BF">
        <w:rPr>
          <w:i/>
          <w:iCs/>
        </w:rPr>
        <w:t>hebben accountants</w:t>
      </w:r>
      <w:r w:rsidRPr="002C79BF">
        <w:rPr>
          <w:i/>
          <w:iCs/>
        </w:rPr>
        <w:t xml:space="preserve"> de rapportageverplichting bij </w:t>
      </w:r>
      <w:proofErr w:type="spellStart"/>
      <w:r w:rsidRPr="002C79BF">
        <w:rPr>
          <w:i/>
          <w:iCs/>
        </w:rPr>
        <w:t>oob’s</w:t>
      </w:r>
      <w:proofErr w:type="spellEnd"/>
      <w:r w:rsidRPr="002C79BF">
        <w:rPr>
          <w:i/>
          <w:iCs/>
        </w:rPr>
        <w:t xml:space="preserve"> toegepast: rapportering in de sectie of geïntegreerd in kernpunten</w:t>
      </w:r>
      <w:r w:rsidR="002C79BF" w:rsidRPr="002C79BF">
        <w:rPr>
          <w:i/>
          <w:iCs/>
        </w:rPr>
        <w:t xml:space="preserve"> </w:t>
      </w:r>
      <w:r w:rsidRPr="002C79BF">
        <w:rPr>
          <w:i/>
          <w:iCs/>
        </w:rPr>
        <w:t xml:space="preserve">van de controle? </w:t>
      </w:r>
    </w:p>
    <w:p w14:paraId="10B360C0" w14:textId="654C2168" w:rsidR="00D449E0" w:rsidRDefault="002C79BF" w:rsidP="00D578E6">
      <w:pPr>
        <w:pStyle w:val="Geenafstand"/>
        <w:numPr>
          <w:ilvl w:val="0"/>
          <w:numId w:val="18"/>
        </w:numPr>
        <w:rPr>
          <w:i/>
          <w:iCs/>
        </w:rPr>
      </w:pPr>
      <w:r>
        <w:rPr>
          <w:i/>
          <w:iCs/>
        </w:rPr>
        <w:t>Is het gewenst om</w:t>
      </w:r>
      <w:r w:rsidR="00D449E0">
        <w:rPr>
          <w:i/>
          <w:iCs/>
        </w:rPr>
        <w:t xml:space="preserve"> voor </w:t>
      </w:r>
      <w:proofErr w:type="spellStart"/>
      <w:r w:rsidR="00D449E0">
        <w:rPr>
          <w:i/>
          <w:iCs/>
        </w:rPr>
        <w:t>oob</w:t>
      </w:r>
      <w:r w:rsidR="003160A4">
        <w:rPr>
          <w:i/>
          <w:iCs/>
        </w:rPr>
        <w:t>’</w:t>
      </w:r>
      <w:r w:rsidR="00D449E0">
        <w:rPr>
          <w:i/>
          <w:iCs/>
        </w:rPr>
        <w:t>s</w:t>
      </w:r>
      <w:proofErr w:type="spellEnd"/>
      <w:r w:rsidR="00D449E0">
        <w:rPr>
          <w:i/>
          <w:iCs/>
        </w:rPr>
        <w:t xml:space="preserve"> </w:t>
      </w:r>
      <w:r>
        <w:rPr>
          <w:i/>
          <w:iCs/>
        </w:rPr>
        <w:t xml:space="preserve">uitsluitend te rapporteren in kernpunten van de controle  </w:t>
      </w:r>
      <w:r w:rsidR="002C3EC7">
        <w:rPr>
          <w:i/>
          <w:iCs/>
        </w:rPr>
        <w:t xml:space="preserve">– in lijn met hetgeen </w:t>
      </w:r>
      <w:r w:rsidR="00221522">
        <w:rPr>
          <w:i/>
          <w:iCs/>
        </w:rPr>
        <w:t>S</w:t>
      </w:r>
      <w:r w:rsidR="00192849">
        <w:rPr>
          <w:i/>
          <w:iCs/>
        </w:rPr>
        <w:t xml:space="preserve">tandaard </w:t>
      </w:r>
      <w:r w:rsidR="002C3EC7">
        <w:rPr>
          <w:i/>
          <w:iCs/>
        </w:rPr>
        <w:t>701</w:t>
      </w:r>
      <w:r w:rsidR="00192849">
        <w:rPr>
          <w:i/>
          <w:iCs/>
        </w:rPr>
        <w:t xml:space="preserve"> beoogt</w:t>
      </w:r>
      <w:r w:rsidR="00D449E0">
        <w:rPr>
          <w:i/>
          <w:iCs/>
        </w:rPr>
        <w:t>?</w:t>
      </w:r>
      <w:r w:rsidDel="002C79BF">
        <w:rPr>
          <w:i/>
          <w:iCs/>
        </w:rPr>
        <w:t xml:space="preserve"> </w:t>
      </w:r>
    </w:p>
    <w:p w14:paraId="37D6C126" w14:textId="77777777" w:rsidR="00D449E0" w:rsidRPr="007D380F" w:rsidRDefault="00D449E0" w:rsidP="00D578E6">
      <w:pPr>
        <w:pStyle w:val="Geenafstand"/>
      </w:pPr>
    </w:p>
    <w:p w14:paraId="48DD9BF2" w14:textId="39BEFE1D" w:rsidR="00487635" w:rsidRPr="00B57103" w:rsidRDefault="00487635" w:rsidP="00D578E6">
      <w:pPr>
        <w:autoSpaceDE w:val="0"/>
        <w:autoSpaceDN w:val="0"/>
        <w:adjustRightInd w:val="0"/>
        <w:spacing w:after="0" w:line="240" w:lineRule="auto"/>
        <w:rPr>
          <w:rStyle w:val="Intensievebenadrukking"/>
          <w:color w:val="auto"/>
        </w:rPr>
      </w:pPr>
      <w:r w:rsidRPr="00B57103">
        <w:rPr>
          <w:rStyle w:val="Intensievebenadrukking"/>
          <w:color w:val="auto"/>
        </w:rPr>
        <w:t>Internationale ontwikkelingen</w:t>
      </w:r>
    </w:p>
    <w:p w14:paraId="1E8F6AFF" w14:textId="4B926089" w:rsidR="00C34EB4" w:rsidRPr="00C34EB4" w:rsidRDefault="00487635" w:rsidP="008A5016">
      <w:pPr>
        <w:pStyle w:val="Default"/>
      </w:pPr>
      <w:r>
        <w:rPr>
          <w:rFonts w:ascii="Calibri" w:eastAsia="Calibri" w:hAnsi="Calibri" w:cs="Times New Roman"/>
          <w:color w:val="auto"/>
          <w:sz w:val="22"/>
          <w:szCs w:val="22"/>
        </w:rPr>
        <w:t xml:space="preserve">Internationaal zijn aanpassingen onderhanden in </w:t>
      </w:r>
      <w:proofErr w:type="spellStart"/>
      <w:r>
        <w:rPr>
          <w:rFonts w:ascii="Calibri" w:eastAsia="Calibri" w:hAnsi="Calibri" w:cs="Times New Roman"/>
          <w:color w:val="auto"/>
          <w:sz w:val="22"/>
          <w:szCs w:val="22"/>
        </w:rPr>
        <w:t>ISA’s</w:t>
      </w:r>
      <w:proofErr w:type="spellEnd"/>
      <w:r>
        <w:rPr>
          <w:rFonts w:ascii="Calibri" w:eastAsia="Calibri" w:hAnsi="Calibri" w:cs="Times New Roman"/>
          <w:color w:val="auto"/>
          <w:sz w:val="22"/>
          <w:szCs w:val="22"/>
        </w:rPr>
        <w:t xml:space="preserve"> 240 en 570</w:t>
      </w:r>
      <w:r w:rsidR="00C34EB4">
        <w:rPr>
          <w:rFonts w:ascii="Calibri" w:eastAsia="Calibri" w:hAnsi="Calibri" w:cs="Times New Roman"/>
          <w:color w:val="auto"/>
          <w:sz w:val="22"/>
          <w:szCs w:val="22"/>
        </w:rPr>
        <w:t xml:space="preserve">. </w:t>
      </w:r>
      <w:r w:rsidR="00C34EB4" w:rsidRPr="00C34EB4">
        <w:rPr>
          <w:rFonts w:ascii="Calibri" w:eastAsia="Calibri" w:hAnsi="Calibri" w:cs="Times New Roman"/>
          <w:color w:val="auto"/>
          <w:sz w:val="22"/>
          <w:szCs w:val="22"/>
        </w:rPr>
        <w:t xml:space="preserve">De focus van de evaluatie </w:t>
      </w:r>
      <w:r w:rsidR="00C34EB4">
        <w:rPr>
          <w:rFonts w:ascii="Calibri" w:eastAsia="Calibri" w:hAnsi="Calibri" w:cs="Times New Roman"/>
          <w:color w:val="auto"/>
          <w:sz w:val="22"/>
          <w:szCs w:val="22"/>
        </w:rPr>
        <w:t xml:space="preserve">van standaard 700 </w:t>
      </w:r>
      <w:r w:rsidR="00C34EB4" w:rsidRPr="00C34EB4">
        <w:rPr>
          <w:rFonts w:ascii="Calibri" w:eastAsia="Calibri" w:hAnsi="Calibri" w:cs="Times New Roman"/>
          <w:color w:val="auto"/>
          <w:sz w:val="22"/>
          <w:szCs w:val="22"/>
        </w:rPr>
        <w:t xml:space="preserve">ligt allereerst op de effectiviteit van de bestaande Standaard 700.29A/29B en hoe deze in de praktijk is toegepast. </w:t>
      </w:r>
      <w:r w:rsidR="00C34EB4">
        <w:rPr>
          <w:rFonts w:ascii="Calibri" w:eastAsia="Calibri" w:hAnsi="Calibri" w:cs="Times New Roman"/>
          <w:color w:val="auto"/>
          <w:sz w:val="22"/>
          <w:szCs w:val="22"/>
        </w:rPr>
        <w:t>De</w:t>
      </w:r>
      <w:r w:rsidR="00C34EB4" w:rsidRPr="00C34EB4">
        <w:rPr>
          <w:rFonts w:ascii="Calibri" w:eastAsia="Calibri" w:hAnsi="Calibri" w:cs="Times New Roman"/>
          <w:color w:val="auto"/>
          <w:sz w:val="22"/>
          <w:szCs w:val="22"/>
        </w:rPr>
        <w:t xml:space="preserve"> </w:t>
      </w:r>
      <w:r w:rsidR="00C34EB4">
        <w:rPr>
          <w:rFonts w:ascii="Calibri" w:eastAsia="Calibri" w:hAnsi="Calibri" w:cs="Times New Roman"/>
          <w:color w:val="auto"/>
          <w:sz w:val="22"/>
          <w:szCs w:val="22"/>
        </w:rPr>
        <w:t xml:space="preserve">aanpassingen in de </w:t>
      </w:r>
      <w:r w:rsidR="00C34EB4" w:rsidRPr="00C34EB4">
        <w:rPr>
          <w:rFonts w:ascii="Calibri" w:eastAsia="Calibri" w:hAnsi="Calibri" w:cs="Times New Roman"/>
          <w:color w:val="auto"/>
          <w:sz w:val="22"/>
          <w:szCs w:val="22"/>
        </w:rPr>
        <w:t xml:space="preserve">internationale aanpassingen </w:t>
      </w:r>
      <w:r w:rsidR="00C34EB4">
        <w:rPr>
          <w:rFonts w:ascii="Calibri" w:eastAsia="Calibri" w:hAnsi="Calibri" w:cs="Times New Roman"/>
          <w:color w:val="auto"/>
          <w:sz w:val="22"/>
          <w:szCs w:val="22"/>
        </w:rPr>
        <w:t>zullen bekend worden in</w:t>
      </w:r>
      <w:r w:rsidR="00C34EB4" w:rsidRPr="00C34EB4">
        <w:rPr>
          <w:rFonts w:ascii="Calibri" w:eastAsia="Calibri" w:hAnsi="Calibri" w:cs="Times New Roman"/>
          <w:color w:val="auto"/>
          <w:sz w:val="22"/>
          <w:szCs w:val="22"/>
        </w:rPr>
        <w:t xml:space="preserve"> Q4 2024 (ISA 570) en </w:t>
      </w:r>
      <w:r w:rsidR="00C34EB4">
        <w:rPr>
          <w:rFonts w:ascii="Calibri" w:eastAsia="Calibri" w:hAnsi="Calibri" w:cs="Times New Roman"/>
          <w:color w:val="auto"/>
          <w:sz w:val="22"/>
          <w:szCs w:val="22"/>
        </w:rPr>
        <w:t xml:space="preserve">in </w:t>
      </w:r>
      <w:r w:rsidR="00C34EB4" w:rsidRPr="00C34EB4">
        <w:rPr>
          <w:rFonts w:ascii="Calibri" w:eastAsia="Calibri" w:hAnsi="Calibri" w:cs="Times New Roman"/>
          <w:color w:val="auto"/>
          <w:sz w:val="22"/>
          <w:szCs w:val="22"/>
        </w:rPr>
        <w:t xml:space="preserve">Q1 2025 (ISA 240) </w:t>
      </w:r>
      <w:r w:rsidR="00C34EB4">
        <w:rPr>
          <w:rFonts w:ascii="Calibri" w:eastAsia="Calibri" w:hAnsi="Calibri" w:cs="Times New Roman"/>
          <w:color w:val="auto"/>
          <w:sz w:val="22"/>
          <w:szCs w:val="22"/>
        </w:rPr>
        <w:t xml:space="preserve">en gaan voor Nederland </w:t>
      </w:r>
      <w:r w:rsidR="00C34EB4" w:rsidRPr="00C34EB4">
        <w:rPr>
          <w:rFonts w:ascii="Calibri" w:eastAsia="Calibri" w:hAnsi="Calibri" w:cs="Times New Roman"/>
          <w:color w:val="auto"/>
          <w:sz w:val="22"/>
          <w:szCs w:val="22"/>
        </w:rPr>
        <w:t>gelden per 2027.</w:t>
      </w:r>
      <w:r w:rsidR="00C34EB4">
        <w:rPr>
          <w:rFonts w:ascii="Calibri" w:eastAsia="Calibri" w:hAnsi="Calibri" w:cs="Times New Roman"/>
          <w:color w:val="auto"/>
          <w:sz w:val="22"/>
          <w:szCs w:val="22"/>
        </w:rPr>
        <w:t xml:space="preserve"> Daarom wordt het effect van deze aanpassingen mede beoordeeld en meegewogen / meegenomen in het </w:t>
      </w:r>
      <w:r w:rsidR="0060307A">
        <w:rPr>
          <w:rFonts w:ascii="Calibri" w:eastAsia="Calibri" w:hAnsi="Calibri" w:cs="Times New Roman"/>
          <w:color w:val="auto"/>
          <w:sz w:val="22"/>
          <w:szCs w:val="22"/>
        </w:rPr>
        <w:t>CB-</w:t>
      </w:r>
      <w:r w:rsidR="00C34EB4">
        <w:rPr>
          <w:rFonts w:ascii="Calibri" w:eastAsia="Calibri" w:hAnsi="Calibri" w:cs="Times New Roman"/>
          <w:color w:val="auto"/>
          <w:sz w:val="22"/>
          <w:szCs w:val="22"/>
        </w:rPr>
        <w:t xml:space="preserve">advies aan het </w:t>
      </w:r>
      <w:r w:rsidR="0060307A">
        <w:rPr>
          <w:rFonts w:ascii="Calibri" w:eastAsia="Calibri" w:hAnsi="Calibri" w:cs="Times New Roman"/>
          <w:color w:val="auto"/>
          <w:sz w:val="22"/>
          <w:szCs w:val="22"/>
        </w:rPr>
        <w:t>NBA-</w:t>
      </w:r>
      <w:r w:rsidR="00C34EB4">
        <w:rPr>
          <w:rFonts w:ascii="Calibri" w:eastAsia="Calibri" w:hAnsi="Calibri" w:cs="Times New Roman"/>
          <w:color w:val="auto"/>
          <w:sz w:val="22"/>
          <w:szCs w:val="22"/>
        </w:rPr>
        <w:t xml:space="preserve">bestuur over de aanpassingen van de Nederlandse standaard 700. </w:t>
      </w:r>
    </w:p>
    <w:p w14:paraId="4D0D62ED" w14:textId="5476A2CA" w:rsidR="00C34EB4" w:rsidRDefault="00C34EB4" w:rsidP="00D578E6">
      <w:pPr>
        <w:pStyle w:val="Default"/>
        <w:rPr>
          <w:rFonts w:ascii="Calibri" w:eastAsia="Calibri" w:hAnsi="Calibri" w:cs="Times New Roman"/>
          <w:color w:val="auto"/>
          <w:sz w:val="22"/>
          <w:szCs w:val="22"/>
        </w:rPr>
      </w:pPr>
    </w:p>
    <w:p w14:paraId="543B8792" w14:textId="1A93D822" w:rsidR="00C34EB4" w:rsidRDefault="00C34EB4" w:rsidP="00D578E6">
      <w:pPr>
        <w:pStyle w:val="Default"/>
        <w:rPr>
          <w:rFonts w:ascii="Calibri" w:eastAsia="Calibri" w:hAnsi="Calibri" w:cs="Times New Roman"/>
          <w:color w:val="auto"/>
          <w:sz w:val="22"/>
          <w:szCs w:val="22"/>
        </w:rPr>
      </w:pPr>
      <w:r>
        <w:rPr>
          <w:rFonts w:ascii="Calibri" w:eastAsia="Calibri" w:hAnsi="Calibri" w:cs="Times New Roman"/>
          <w:color w:val="auto"/>
          <w:sz w:val="22"/>
          <w:szCs w:val="22"/>
        </w:rPr>
        <w:t xml:space="preserve">Beoogde </w:t>
      </w:r>
      <w:r w:rsidR="00E11E7D">
        <w:rPr>
          <w:rFonts w:ascii="Calibri" w:eastAsia="Calibri" w:hAnsi="Calibri" w:cs="Times New Roman"/>
          <w:color w:val="auto"/>
          <w:sz w:val="22"/>
          <w:szCs w:val="22"/>
        </w:rPr>
        <w:t xml:space="preserve">internationale </w:t>
      </w:r>
      <w:r>
        <w:rPr>
          <w:rFonts w:ascii="Calibri" w:eastAsia="Calibri" w:hAnsi="Calibri" w:cs="Times New Roman"/>
          <w:color w:val="auto"/>
          <w:sz w:val="22"/>
          <w:szCs w:val="22"/>
        </w:rPr>
        <w:t xml:space="preserve">aanpassingen </w:t>
      </w:r>
      <w:proofErr w:type="spellStart"/>
      <w:r>
        <w:rPr>
          <w:rFonts w:ascii="Calibri" w:eastAsia="Calibri" w:hAnsi="Calibri" w:cs="Times New Roman"/>
          <w:color w:val="auto"/>
          <w:sz w:val="22"/>
          <w:szCs w:val="22"/>
        </w:rPr>
        <w:t>ISA’s</w:t>
      </w:r>
      <w:proofErr w:type="spellEnd"/>
      <w:r>
        <w:rPr>
          <w:rFonts w:ascii="Calibri" w:eastAsia="Calibri" w:hAnsi="Calibri" w:cs="Times New Roman"/>
          <w:color w:val="auto"/>
          <w:sz w:val="22"/>
          <w:szCs w:val="22"/>
        </w:rPr>
        <w:t>:</w:t>
      </w:r>
    </w:p>
    <w:p w14:paraId="2CE1A0C0" w14:textId="0E7C18E0" w:rsidR="00487635" w:rsidRDefault="00D47ABA" w:rsidP="00D578E6">
      <w:pPr>
        <w:pStyle w:val="Default"/>
        <w:numPr>
          <w:ilvl w:val="0"/>
          <w:numId w:val="13"/>
        </w:numPr>
        <w:rPr>
          <w:rFonts w:ascii="Calibri" w:eastAsia="Calibri" w:hAnsi="Calibri" w:cs="Times New Roman"/>
          <w:color w:val="auto"/>
          <w:sz w:val="22"/>
          <w:szCs w:val="22"/>
        </w:rPr>
      </w:pPr>
      <w:r>
        <w:rPr>
          <w:rFonts w:ascii="Calibri" w:eastAsia="Calibri" w:hAnsi="Calibri" w:cs="Times New Roman"/>
          <w:color w:val="auto"/>
          <w:sz w:val="22"/>
          <w:szCs w:val="22"/>
        </w:rPr>
        <w:t>ISA</w:t>
      </w:r>
      <w:r w:rsidR="001E2411">
        <w:rPr>
          <w:rFonts w:ascii="Calibri" w:eastAsia="Calibri" w:hAnsi="Calibri" w:cs="Times New Roman"/>
          <w:color w:val="auto"/>
          <w:sz w:val="22"/>
          <w:szCs w:val="22"/>
        </w:rPr>
        <w:t xml:space="preserve"> </w:t>
      </w:r>
      <w:r>
        <w:rPr>
          <w:rFonts w:ascii="Calibri" w:eastAsia="Calibri" w:hAnsi="Calibri" w:cs="Times New Roman"/>
          <w:color w:val="auto"/>
          <w:sz w:val="22"/>
          <w:szCs w:val="22"/>
        </w:rPr>
        <w:t>240</w:t>
      </w:r>
      <w:r w:rsidR="001E2411">
        <w:rPr>
          <w:rFonts w:ascii="Calibri" w:eastAsia="Calibri" w:hAnsi="Calibri" w:cs="Times New Roman"/>
          <w:color w:val="auto"/>
          <w:sz w:val="22"/>
          <w:szCs w:val="22"/>
        </w:rPr>
        <w:t>: d</w:t>
      </w:r>
      <w:r w:rsidR="00487635" w:rsidRPr="30DC39AD">
        <w:rPr>
          <w:rFonts w:ascii="Calibri" w:eastAsia="Calibri" w:hAnsi="Calibri" w:cs="Times New Roman"/>
          <w:color w:val="auto"/>
          <w:sz w:val="22"/>
          <w:szCs w:val="22"/>
        </w:rPr>
        <w:t xml:space="preserve">e IAASB </w:t>
      </w:r>
      <w:r w:rsidR="00487635">
        <w:rPr>
          <w:rFonts w:ascii="Calibri" w:eastAsia="Calibri" w:hAnsi="Calibri" w:cs="Times New Roman"/>
          <w:color w:val="auto"/>
          <w:sz w:val="22"/>
          <w:szCs w:val="22"/>
        </w:rPr>
        <w:t>heeft</w:t>
      </w:r>
      <w:r w:rsidR="00487635" w:rsidRPr="30DC39AD">
        <w:rPr>
          <w:rFonts w:ascii="Calibri" w:eastAsia="Calibri" w:hAnsi="Calibri" w:cs="Times New Roman"/>
          <w:color w:val="auto"/>
          <w:sz w:val="22"/>
          <w:szCs w:val="22"/>
        </w:rPr>
        <w:t xml:space="preserve"> in 2024 de </w:t>
      </w:r>
      <w:r w:rsidR="00487635">
        <w:rPr>
          <w:rFonts w:ascii="Calibri" w:eastAsia="Calibri" w:hAnsi="Calibri" w:cs="Times New Roman"/>
          <w:color w:val="auto"/>
          <w:sz w:val="22"/>
          <w:szCs w:val="22"/>
        </w:rPr>
        <w:t>exposure draft van</w:t>
      </w:r>
      <w:r w:rsidR="00487635" w:rsidRPr="30DC39AD">
        <w:rPr>
          <w:rFonts w:ascii="Calibri" w:eastAsia="Calibri" w:hAnsi="Calibri" w:cs="Times New Roman"/>
          <w:color w:val="auto"/>
          <w:sz w:val="22"/>
          <w:szCs w:val="22"/>
        </w:rPr>
        <w:t xml:space="preserve"> ISA 240 </w:t>
      </w:r>
      <w:r w:rsidR="00487635">
        <w:rPr>
          <w:rFonts w:ascii="Calibri" w:eastAsia="Calibri" w:hAnsi="Calibri" w:cs="Times New Roman"/>
          <w:color w:val="auto"/>
          <w:sz w:val="22"/>
          <w:szCs w:val="22"/>
        </w:rPr>
        <w:t>geconsulteerd</w:t>
      </w:r>
      <w:r w:rsidR="00487635" w:rsidRPr="30DC39AD">
        <w:rPr>
          <w:rFonts w:ascii="Calibri" w:eastAsia="Calibri" w:hAnsi="Calibri" w:cs="Times New Roman"/>
          <w:color w:val="auto"/>
          <w:sz w:val="22"/>
          <w:szCs w:val="22"/>
        </w:rPr>
        <w:t xml:space="preserve">. De beoogde wijzigingen omvatten rapporteringsvereisten voor controleverklaringen van </w:t>
      </w:r>
      <w:proofErr w:type="spellStart"/>
      <w:r w:rsidR="00487635" w:rsidRPr="30DC39AD">
        <w:rPr>
          <w:rFonts w:ascii="Calibri" w:eastAsia="Calibri" w:hAnsi="Calibri" w:cs="Times New Roman"/>
          <w:color w:val="auto"/>
          <w:sz w:val="22"/>
          <w:szCs w:val="22"/>
        </w:rPr>
        <w:t>oob’s</w:t>
      </w:r>
      <w:proofErr w:type="spellEnd"/>
      <w:r w:rsidR="00487635" w:rsidRPr="30DC39AD">
        <w:rPr>
          <w:rFonts w:ascii="Calibri" w:eastAsia="Calibri" w:hAnsi="Calibri" w:cs="Times New Roman"/>
          <w:color w:val="auto"/>
          <w:sz w:val="22"/>
          <w:szCs w:val="22"/>
        </w:rPr>
        <w:t xml:space="preserve">. </w:t>
      </w:r>
      <w:r w:rsidR="00487635">
        <w:rPr>
          <w:rFonts w:ascii="Calibri" w:eastAsia="Calibri" w:hAnsi="Calibri" w:cs="Times New Roman"/>
          <w:color w:val="auto"/>
          <w:sz w:val="22"/>
          <w:szCs w:val="22"/>
        </w:rPr>
        <w:t xml:space="preserve">De NBA heeft hierop gereageerd de rapportageverplichting uit te breiden naar wettelijke controles, in lijn met de NL </w:t>
      </w:r>
      <w:r w:rsidR="00221522">
        <w:rPr>
          <w:rFonts w:ascii="Calibri" w:eastAsia="Calibri" w:hAnsi="Calibri" w:cs="Times New Roman"/>
          <w:color w:val="auto"/>
          <w:sz w:val="22"/>
          <w:szCs w:val="22"/>
        </w:rPr>
        <w:t>S</w:t>
      </w:r>
      <w:r w:rsidR="00487635">
        <w:rPr>
          <w:rFonts w:ascii="Calibri" w:eastAsia="Calibri" w:hAnsi="Calibri" w:cs="Times New Roman"/>
          <w:color w:val="auto"/>
          <w:sz w:val="22"/>
          <w:szCs w:val="22"/>
        </w:rPr>
        <w:t xml:space="preserve">tandaard 700 aanpassing. </w:t>
      </w:r>
      <w:r w:rsidR="00527BEF">
        <w:rPr>
          <w:rFonts w:ascii="Calibri" w:eastAsia="Calibri" w:hAnsi="Calibri" w:cs="Times New Roman"/>
          <w:color w:val="auto"/>
          <w:sz w:val="22"/>
          <w:szCs w:val="22"/>
        </w:rPr>
        <w:t>In Q1 2025 wordt de</w:t>
      </w:r>
      <w:r w:rsidR="00487635" w:rsidRPr="30DC39AD">
        <w:rPr>
          <w:rFonts w:ascii="Calibri" w:eastAsia="Calibri" w:hAnsi="Calibri" w:cs="Times New Roman"/>
          <w:color w:val="auto"/>
          <w:sz w:val="22"/>
          <w:szCs w:val="22"/>
        </w:rPr>
        <w:t xml:space="preserve"> </w:t>
      </w:r>
      <w:r w:rsidR="0093544F">
        <w:rPr>
          <w:rFonts w:ascii="Calibri" w:eastAsia="Calibri" w:hAnsi="Calibri" w:cs="Times New Roman"/>
          <w:color w:val="auto"/>
          <w:sz w:val="22"/>
          <w:szCs w:val="22"/>
        </w:rPr>
        <w:t xml:space="preserve">aangepaste </w:t>
      </w:r>
      <w:r w:rsidR="00487635" w:rsidRPr="30DC39AD">
        <w:rPr>
          <w:rFonts w:ascii="Calibri" w:eastAsia="Calibri" w:hAnsi="Calibri" w:cs="Times New Roman"/>
          <w:color w:val="auto"/>
          <w:sz w:val="22"/>
          <w:szCs w:val="22"/>
        </w:rPr>
        <w:t xml:space="preserve">ISA 240 </w:t>
      </w:r>
      <w:r w:rsidR="00527BEF">
        <w:rPr>
          <w:rFonts w:ascii="Calibri" w:eastAsia="Calibri" w:hAnsi="Calibri" w:cs="Times New Roman"/>
          <w:color w:val="auto"/>
          <w:sz w:val="22"/>
          <w:szCs w:val="22"/>
        </w:rPr>
        <w:t>definitief</w:t>
      </w:r>
      <w:r w:rsidR="0093544F">
        <w:rPr>
          <w:rFonts w:ascii="Calibri" w:eastAsia="Calibri" w:hAnsi="Calibri" w:cs="Times New Roman"/>
          <w:color w:val="auto"/>
          <w:sz w:val="22"/>
          <w:szCs w:val="22"/>
        </w:rPr>
        <w:t xml:space="preserve"> en deze zal per 2027 in werking treden. </w:t>
      </w:r>
      <w:r w:rsidR="00527BEF">
        <w:rPr>
          <w:rFonts w:ascii="Calibri" w:eastAsia="Calibri" w:hAnsi="Calibri" w:cs="Times New Roman"/>
          <w:color w:val="auto"/>
          <w:sz w:val="22"/>
          <w:szCs w:val="22"/>
        </w:rPr>
        <w:t xml:space="preserve"> </w:t>
      </w:r>
    </w:p>
    <w:p w14:paraId="1B3F7DC1" w14:textId="498E3672" w:rsidR="006A7054" w:rsidRPr="00527BEF" w:rsidRDefault="006A7054" w:rsidP="00787FCF">
      <w:pPr>
        <w:pStyle w:val="Default"/>
        <w:numPr>
          <w:ilvl w:val="0"/>
          <w:numId w:val="13"/>
        </w:numPr>
        <w:rPr>
          <w:rFonts w:ascii="Calibri" w:eastAsia="Calibri" w:hAnsi="Calibri" w:cs="Times New Roman"/>
          <w:color w:val="auto"/>
          <w:sz w:val="22"/>
          <w:szCs w:val="22"/>
        </w:rPr>
      </w:pPr>
      <w:r w:rsidRPr="00527BEF">
        <w:rPr>
          <w:rFonts w:ascii="Calibri" w:eastAsia="Calibri" w:hAnsi="Calibri" w:cs="Times New Roman"/>
          <w:color w:val="auto"/>
          <w:sz w:val="22"/>
          <w:szCs w:val="22"/>
        </w:rPr>
        <w:lastRenderedPageBreak/>
        <w:t xml:space="preserve">Vanuit de IAASB is een </w:t>
      </w:r>
      <w:proofErr w:type="spellStart"/>
      <w:r w:rsidRPr="00527BEF">
        <w:rPr>
          <w:rFonts w:ascii="Calibri" w:eastAsia="Calibri" w:hAnsi="Calibri" w:cs="Times New Roman"/>
          <w:color w:val="auto"/>
          <w:sz w:val="22"/>
          <w:szCs w:val="22"/>
        </w:rPr>
        <w:t>engelse</w:t>
      </w:r>
      <w:proofErr w:type="spellEnd"/>
      <w:r w:rsidRPr="00527BEF">
        <w:rPr>
          <w:rFonts w:ascii="Calibri" w:eastAsia="Calibri" w:hAnsi="Calibri" w:cs="Times New Roman"/>
          <w:color w:val="auto"/>
          <w:sz w:val="22"/>
          <w:szCs w:val="22"/>
        </w:rPr>
        <w:t xml:space="preserve"> vertaling van de laatste uitkomsten van de NBA analyse van de fraudesecties in de controleverklaringen 2022</w:t>
      </w:r>
      <w:r w:rsidR="00527BEF" w:rsidRPr="0095506E">
        <w:rPr>
          <w:rFonts w:ascii="Calibri" w:eastAsia="Calibri" w:hAnsi="Calibri" w:cs="Times New Roman"/>
          <w:color w:val="auto"/>
          <w:sz w:val="22"/>
          <w:szCs w:val="22"/>
        </w:rPr>
        <w:t xml:space="preserve"> opgevraagd</w:t>
      </w:r>
      <w:r w:rsidRPr="0095506E">
        <w:rPr>
          <w:rFonts w:ascii="Calibri" w:eastAsia="Calibri" w:hAnsi="Calibri" w:cs="Times New Roman"/>
          <w:color w:val="auto"/>
          <w:sz w:val="22"/>
          <w:szCs w:val="22"/>
        </w:rPr>
        <w:t xml:space="preserve">. Op 10 september </w:t>
      </w:r>
      <w:r w:rsidR="00235F0E">
        <w:rPr>
          <w:rFonts w:ascii="Calibri" w:eastAsia="Calibri" w:hAnsi="Calibri" w:cs="Times New Roman"/>
          <w:color w:val="auto"/>
          <w:sz w:val="22"/>
          <w:szCs w:val="22"/>
        </w:rPr>
        <w:t>jl.</w:t>
      </w:r>
      <w:r w:rsidR="00235F0E" w:rsidRPr="0095506E">
        <w:rPr>
          <w:rFonts w:ascii="Calibri" w:eastAsia="Calibri" w:hAnsi="Calibri" w:cs="Times New Roman"/>
          <w:color w:val="auto"/>
          <w:sz w:val="22"/>
          <w:szCs w:val="22"/>
        </w:rPr>
        <w:t xml:space="preserve"> </w:t>
      </w:r>
      <w:r w:rsidR="003B6D6F">
        <w:rPr>
          <w:rFonts w:ascii="Calibri" w:eastAsia="Calibri" w:hAnsi="Calibri" w:cs="Times New Roman"/>
          <w:color w:val="auto"/>
          <w:sz w:val="22"/>
          <w:szCs w:val="22"/>
        </w:rPr>
        <w:t>heeft</w:t>
      </w:r>
      <w:r w:rsidR="003B6D6F" w:rsidRPr="0095506E">
        <w:rPr>
          <w:rFonts w:ascii="Calibri" w:eastAsia="Calibri" w:hAnsi="Calibri" w:cs="Times New Roman"/>
          <w:color w:val="auto"/>
          <w:sz w:val="22"/>
          <w:szCs w:val="22"/>
        </w:rPr>
        <w:t xml:space="preserve"> </w:t>
      </w:r>
      <w:r w:rsidRPr="0095506E">
        <w:rPr>
          <w:rFonts w:ascii="Calibri" w:eastAsia="Calibri" w:hAnsi="Calibri" w:cs="Times New Roman"/>
          <w:color w:val="auto"/>
          <w:sz w:val="22"/>
          <w:szCs w:val="22"/>
        </w:rPr>
        <w:t xml:space="preserve">de IAASB in de werkgroep fraude een toelichting </w:t>
      </w:r>
      <w:r w:rsidR="003B6D6F">
        <w:rPr>
          <w:rFonts w:ascii="Calibri" w:eastAsia="Calibri" w:hAnsi="Calibri" w:cs="Times New Roman"/>
          <w:color w:val="auto"/>
          <w:sz w:val="22"/>
          <w:szCs w:val="22"/>
        </w:rPr>
        <w:t>ge</w:t>
      </w:r>
      <w:r w:rsidRPr="0095506E">
        <w:rPr>
          <w:rFonts w:ascii="Calibri" w:eastAsia="Calibri" w:hAnsi="Calibri" w:cs="Times New Roman"/>
          <w:color w:val="auto"/>
          <w:sz w:val="22"/>
          <w:szCs w:val="22"/>
        </w:rPr>
        <w:t xml:space="preserve">geven op </w:t>
      </w:r>
      <w:r w:rsidR="00527BEF" w:rsidRPr="0095506E">
        <w:rPr>
          <w:rFonts w:ascii="Calibri" w:eastAsia="Calibri" w:hAnsi="Calibri" w:cs="Times New Roman"/>
          <w:color w:val="auto"/>
          <w:sz w:val="22"/>
          <w:szCs w:val="22"/>
        </w:rPr>
        <w:t xml:space="preserve">de </w:t>
      </w:r>
      <w:r w:rsidRPr="0095506E">
        <w:rPr>
          <w:rFonts w:ascii="Calibri" w:eastAsia="Calibri" w:hAnsi="Calibri" w:cs="Times New Roman"/>
          <w:color w:val="auto"/>
          <w:sz w:val="22"/>
          <w:szCs w:val="22"/>
        </w:rPr>
        <w:t xml:space="preserve">consultatiereacties </w:t>
      </w:r>
      <w:r w:rsidR="00527BEF" w:rsidRPr="0095506E">
        <w:rPr>
          <w:rFonts w:ascii="Calibri" w:eastAsia="Calibri" w:hAnsi="Calibri" w:cs="Times New Roman"/>
          <w:color w:val="auto"/>
          <w:sz w:val="22"/>
          <w:szCs w:val="22"/>
        </w:rPr>
        <w:t xml:space="preserve">ED </w:t>
      </w:r>
      <w:r w:rsidRPr="0095506E">
        <w:rPr>
          <w:rFonts w:ascii="Calibri" w:eastAsia="Calibri" w:hAnsi="Calibri" w:cs="Times New Roman"/>
          <w:color w:val="auto"/>
          <w:sz w:val="22"/>
          <w:szCs w:val="22"/>
        </w:rPr>
        <w:t>ISA 240</w:t>
      </w:r>
      <w:r w:rsidR="00CB5886" w:rsidRPr="0095506E">
        <w:rPr>
          <w:rFonts w:ascii="Calibri" w:eastAsia="Calibri" w:hAnsi="Calibri" w:cs="Times New Roman"/>
          <w:color w:val="auto"/>
          <w:sz w:val="22"/>
          <w:szCs w:val="22"/>
        </w:rPr>
        <w:t xml:space="preserve"> en verwachte aanpassingen</w:t>
      </w:r>
      <w:r w:rsidRPr="0095506E">
        <w:rPr>
          <w:rFonts w:ascii="Calibri" w:eastAsia="Calibri" w:hAnsi="Calibri" w:cs="Times New Roman"/>
          <w:color w:val="auto"/>
          <w:sz w:val="22"/>
          <w:szCs w:val="22"/>
        </w:rPr>
        <w:t>.</w:t>
      </w:r>
      <w:r w:rsidR="003B6D6F">
        <w:rPr>
          <w:rFonts w:ascii="Calibri" w:eastAsia="Calibri" w:hAnsi="Calibri" w:cs="Times New Roman"/>
          <w:color w:val="auto"/>
          <w:sz w:val="22"/>
          <w:szCs w:val="22"/>
        </w:rPr>
        <w:t xml:space="preserve"> </w:t>
      </w:r>
      <w:r w:rsidR="00C34EB4">
        <w:rPr>
          <w:rFonts w:ascii="Calibri" w:eastAsia="Calibri" w:hAnsi="Calibri" w:cs="Times New Roman"/>
          <w:color w:val="auto"/>
          <w:sz w:val="22"/>
          <w:szCs w:val="22"/>
        </w:rPr>
        <w:t xml:space="preserve">Er </w:t>
      </w:r>
      <w:r w:rsidR="003B6D6F">
        <w:rPr>
          <w:rFonts w:ascii="Calibri" w:eastAsia="Calibri" w:hAnsi="Calibri" w:cs="Times New Roman"/>
          <w:color w:val="auto"/>
          <w:sz w:val="22"/>
          <w:szCs w:val="22"/>
        </w:rPr>
        <w:t xml:space="preserve">komt </w:t>
      </w:r>
      <w:r w:rsidR="00C34EB4">
        <w:rPr>
          <w:rFonts w:ascii="Calibri" w:eastAsia="Calibri" w:hAnsi="Calibri" w:cs="Times New Roman"/>
          <w:color w:val="auto"/>
          <w:sz w:val="22"/>
          <w:szCs w:val="22"/>
        </w:rPr>
        <w:t xml:space="preserve">(naar stand d.d. sept 2024) </w:t>
      </w:r>
      <w:r w:rsidR="003B6D6F">
        <w:rPr>
          <w:rFonts w:ascii="Calibri" w:eastAsia="Calibri" w:hAnsi="Calibri" w:cs="Times New Roman"/>
          <w:color w:val="auto"/>
          <w:sz w:val="22"/>
          <w:szCs w:val="22"/>
        </w:rPr>
        <w:t xml:space="preserve">voor </w:t>
      </w:r>
      <w:proofErr w:type="spellStart"/>
      <w:r w:rsidR="003B6D6F">
        <w:rPr>
          <w:rFonts w:ascii="Calibri" w:eastAsia="Calibri" w:hAnsi="Calibri" w:cs="Times New Roman"/>
          <w:color w:val="auto"/>
          <w:sz w:val="22"/>
          <w:szCs w:val="22"/>
        </w:rPr>
        <w:t>oob’s</w:t>
      </w:r>
      <w:proofErr w:type="spellEnd"/>
      <w:r w:rsidR="003B6D6F">
        <w:rPr>
          <w:rFonts w:ascii="Calibri" w:eastAsia="Calibri" w:hAnsi="Calibri" w:cs="Times New Roman"/>
          <w:color w:val="auto"/>
          <w:sz w:val="22"/>
          <w:szCs w:val="22"/>
        </w:rPr>
        <w:t xml:space="preserve"> geen verplichting om een ‘fraude’</w:t>
      </w:r>
      <w:r w:rsidR="003047AC">
        <w:rPr>
          <w:rFonts w:ascii="Calibri" w:eastAsia="Calibri" w:hAnsi="Calibri" w:cs="Times New Roman"/>
          <w:color w:val="auto"/>
          <w:sz w:val="22"/>
          <w:szCs w:val="22"/>
        </w:rPr>
        <w:t>-</w:t>
      </w:r>
      <w:r w:rsidR="003B6D6F">
        <w:rPr>
          <w:rFonts w:ascii="Calibri" w:eastAsia="Calibri" w:hAnsi="Calibri" w:cs="Times New Roman"/>
          <w:color w:val="auto"/>
          <w:sz w:val="22"/>
          <w:szCs w:val="22"/>
        </w:rPr>
        <w:t xml:space="preserve">KAM op te nemen, wel een zwaarwegend advies. </w:t>
      </w:r>
    </w:p>
    <w:p w14:paraId="66E0AC08" w14:textId="540E81EE" w:rsidR="00487635" w:rsidRDefault="00487635" w:rsidP="00D578E6">
      <w:pPr>
        <w:pStyle w:val="Default"/>
        <w:numPr>
          <w:ilvl w:val="0"/>
          <w:numId w:val="13"/>
        </w:numPr>
        <w:rPr>
          <w:rFonts w:ascii="Calibri" w:eastAsia="Calibri" w:hAnsi="Calibri" w:cs="Times New Roman"/>
          <w:color w:val="auto"/>
          <w:sz w:val="22"/>
          <w:szCs w:val="22"/>
        </w:rPr>
      </w:pPr>
      <w:r w:rsidRPr="30DC39AD">
        <w:rPr>
          <w:rFonts w:ascii="Calibri" w:eastAsia="Calibri" w:hAnsi="Calibri" w:cs="Times New Roman"/>
          <w:color w:val="auto"/>
          <w:sz w:val="22"/>
          <w:szCs w:val="22"/>
        </w:rPr>
        <w:t>ISA 570: de IAASB heeft de voorgestelde wijzigingen in ISA 570 geconsulteerd in augustus 2023. De NBA heeft hier ook op gereageerd</w:t>
      </w:r>
      <w:r w:rsidR="001761B7">
        <w:rPr>
          <w:rStyle w:val="Voetnootmarkering"/>
          <w:rFonts w:ascii="Calibri" w:eastAsia="Calibri" w:hAnsi="Calibri" w:cs="Times New Roman"/>
          <w:color w:val="auto"/>
          <w:sz w:val="22"/>
          <w:szCs w:val="22"/>
        </w:rPr>
        <w:footnoteReference w:id="4"/>
      </w:r>
      <w:r w:rsidRPr="30DC39AD">
        <w:rPr>
          <w:rFonts w:ascii="Calibri" w:eastAsia="Calibri" w:hAnsi="Calibri" w:cs="Times New Roman"/>
          <w:color w:val="auto"/>
          <w:sz w:val="22"/>
          <w:szCs w:val="22"/>
        </w:rPr>
        <w:t xml:space="preserve">. </w:t>
      </w:r>
      <w:r w:rsidR="00FA643B">
        <w:rPr>
          <w:rFonts w:ascii="Calibri" w:eastAsia="Calibri" w:hAnsi="Calibri" w:cs="Times New Roman"/>
          <w:color w:val="auto"/>
          <w:sz w:val="22"/>
          <w:szCs w:val="22"/>
        </w:rPr>
        <w:t xml:space="preserve">In </w:t>
      </w:r>
      <w:r w:rsidR="00FA643B" w:rsidRPr="008F670D">
        <w:rPr>
          <w:rFonts w:ascii="Calibri" w:eastAsia="Calibri" w:hAnsi="Calibri" w:cs="Times New Roman"/>
          <w:color w:val="auto"/>
          <w:sz w:val="22"/>
          <w:szCs w:val="22"/>
        </w:rPr>
        <w:t xml:space="preserve">september 2024 </w:t>
      </w:r>
      <w:r w:rsidR="00FA643B">
        <w:rPr>
          <w:rFonts w:ascii="Calibri" w:eastAsia="Calibri" w:hAnsi="Calibri" w:cs="Times New Roman"/>
          <w:color w:val="auto"/>
          <w:sz w:val="22"/>
          <w:szCs w:val="22"/>
        </w:rPr>
        <w:t>zal de IAASB</w:t>
      </w:r>
      <w:r w:rsidR="0015168E">
        <w:rPr>
          <w:rFonts w:ascii="Calibri" w:eastAsia="Calibri" w:hAnsi="Calibri" w:cs="Times New Roman"/>
          <w:color w:val="auto"/>
          <w:sz w:val="22"/>
          <w:szCs w:val="22"/>
        </w:rPr>
        <w:t xml:space="preserve"> de </w:t>
      </w:r>
      <w:r w:rsidR="003B6C8C">
        <w:rPr>
          <w:rFonts w:ascii="Calibri" w:eastAsia="Calibri" w:hAnsi="Calibri" w:cs="Times New Roman"/>
          <w:color w:val="auto"/>
          <w:sz w:val="22"/>
          <w:szCs w:val="22"/>
        </w:rPr>
        <w:t>analyse van de feedback overweg</w:t>
      </w:r>
      <w:r w:rsidR="003403B6">
        <w:rPr>
          <w:rFonts w:ascii="Calibri" w:eastAsia="Calibri" w:hAnsi="Calibri" w:cs="Times New Roman"/>
          <w:color w:val="auto"/>
          <w:sz w:val="22"/>
          <w:szCs w:val="22"/>
        </w:rPr>
        <w:t xml:space="preserve">en samen met de voorstellen vanuit de </w:t>
      </w:r>
      <w:proofErr w:type="spellStart"/>
      <w:r w:rsidR="003403B6">
        <w:rPr>
          <w:rFonts w:ascii="Calibri" w:eastAsia="Calibri" w:hAnsi="Calibri" w:cs="Times New Roman"/>
          <w:color w:val="auto"/>
          <w:sz w:val="22"/>
          <w:szCs w:val="22"/>
        </w:rPr>
        <w:t>Going</w:t>
      </w:r>
      <w:proofErr w:type="spellEnd"/>
      <w:r w:rsidR="003403B6">
        <w:rPr>
          <w:rFonts w:ascii="Calibri" w:eastAsia="Calibri" w:hAnsi="Calibri" w:cs="Times New Roman"/>
          <w:color w:val="auto"/>
          <w:sz w:val="22"/>
          <w:szCs w:val="22"/>
        </w:rPr>
        <w:t xml:space="preserve"> Concern </w:t>
      </w:r>
      <w:proofErr w:type="spellStart"/>
      <w:r w:rsidR="003403B6">
        <w:rPr>
          <w:rFonts w:ascii="Calibri" w:eastAsia="Calibri" w:hAnsi="Calibri" w:cs="Times New Roman"/>
          <w:color w:val="auto"/>
          <w:sz w:val="22"/>
          <w:szCs w:val="22"/>
        </w:rPr>
        <w:t>Task</w:t>
      </w:r>
      <w:proofErr w:type="spellEnd"/>
      <w:r w:rsidR="003403B6">
        <w:rPr>
          <w:rFonts w:ascii="Calibri" w:eastAsia="Calibri" w:hAnsi="Calibri" w:cs="Times New Roman"/>
          <w:color w:val="auto"/>
          <w:sz w:val="22"/>
          <w:szCs w:val="22"/>
        </w:rPr>
        <w:t xml:space="preserve"> Force. </w:t>
      </w:r>
      <w:r w:rsidR="00F20479">
        <w:rPr>
          <w:rFonts w:ascii="Calibri" w:eastAsia="Calibri" w:hAnsi="Calibri" w:cs="Times New Roman"/>
          <w:color w:val="auto"/>
          <w:sz w:val="22"/>
          <w:szCs w:val="22"/>
        </w:rPr>
        <w:t xml:space="preserve">Daarnaast zal men de </w:t>
      </w:r>
      <w:r w:rsidR="00A97297">
        <w:rPr>
          <w:rFonts w:ascii="Calibri" w:eastAsia="Calibri" w:hAnsi="Calibri" w:cs="Times New Roman"/>
          <w:color w:val="auto"/>
          <w:sz w:val="22"/>
          <w:szCs w:val="22"/>
        </w:rPr>
        <w:t xml:space="preserve">eerste complete </w:t>
      </w:r>
      <w:r w:rsidR="00520174">
        <w:rPr>
          <w:rFonts w:ascii="Calibri" w:eastAsia="Calibri" w:hAnsi="Calibri" w:cs="Times New Roman"/>
          <w:color w:val="auto"/>
          <w:sz w:val="22"/>
          <w:szCs w:val="22"/>
        </w:rPr>
        <w:t xml:space="preserve">draft versie reviewen van de aangepaste </w:t>
      </w:r>
      <w:proofErr w:type="spellStart"/>
      <w:r w:rsidR="00520174">
        <w:rPr>
          <w:rFonts w:ascii="Calibri" w:eastAsia="Calibri" w:hAnsi="Calibri" w:cs="Times New Roman"/>
          <w:color w:val="auto"/>
          <w:sz w:val="22"/>
          <w:szCs w:val="22"/>
        </w:rPr>
        <w:t>going</w:t>
      </w:r>
      <w:proofErr w:type="spellEnd"/>
      <w:r w:rsidR="00520174">
        <w:rPr>
          <w:rFonts w:ascii="Calibri" w:eastAsia="Calibri" w:hAnsi="Calibri" w:cs="Times New Roman"/>
          <w:color w:val="auto"/>
          <w:sz w:val="22"/>
          <w:szCs w:val="22"/>
        </w:rPr>
        <w:t xml:space="preserve"> concern </w:t>
      </w:r>
      <w:r w:rsidR="00221522">
        <w:rPr>
          <w:rFonts w:ascii="Calibri" w:eastAsia="Calibri" w:hAnsi="Calibri" w:cs="Times New Roman"/>
          <w:color w:val="auto"/>
          <w:sz w:val="22"/>
          <w:szCs w:val="22"/>
        </w:rPr>
        <w:t>S</w:t>
      </w:r>
      <w:r w:rsidR="00520174">
        <w:rPr>
          <w:rFonts w:ascii="Calibri" w:eastAsia="Calibri" w:hAnsi="Calibri" w:cs="Times New Roman"/>
          <w:color w:val="auto"/>
          <w:sz w:val="22"/>
          <w:szCs w:val="22"/>
        </w:rPr>
        <w:t xml:space="preserve">tandaard. </w:t>
      </w:r>
      <w:r w:rsidR="00F01CCC">
        <w:rPr>
          <w:rFonts w:ascii="Calibri" w:eastAsia="Calibri" w:hAnsi="Calibri" w:cs="Times New Roman"/>
          <w:color w:val="auto"/>
          <w:sz w:val="22"/>
          <w:szCs w:val="22"/>
        </w:rPr>
        <w:t>Volgens de IAASB website zal</w:t>
      </w:r>
      <w:r w:rsidRPr="30DC39AD">
        <w:rPr>
          <w:rFonts w:ascii="Calibri" w:eastAsia="Calibri" w:hAnsi="Calibri" w:cs="Times New Roman"/>
          <w:color w:val="auto"/>
          <w:sz w:val="22"/>
          <w:szCs w:val="22"/>
        </w:rPr>
        <w:t xml:space="preserve"> de aangepaste ISA 570 in december 2024 definitief word</w:t>
      </w:r>
      <w:r w:rsidR="00F01CCC">
        <w:rPr>
          <w:rFonts w:ascii="Calibri" w:eastAsia="Calibri" w:hAnsi="Calibri" w:cs="Times New Roman"/>
          <w:color w:val="auto"/>
          <w:sz w:val="22"/>
          <w:szCs w:val="22"/>
        </w:rPr>
        <w:t>en</w:t>
      </w:r>
      <w:r w:rsidRPr="30DC39AD">
        <w:rPr>
          <w:rFonts w:ascii="Calibri" w:eastAsia="Calibri" w:hAnsi="Calibri" w:cs="Times New Roman"/>
          <w:color w:val="auto"/>
          <w:sz w:val="22"/>
          <w:szCs w:val="22"/>
        </w:rPr>
        <w:t xml:space="preserve"> en na 18 maanden in werking tre</w:t>
      </w:r>
      <w:r w:rsidR="00CB6B07">
        <w:rPr>
          <w:rFonts w:ascii="Calibri" w:eastAsia="Calibri" w:hAnsi="Calibri" w:cs="Times New Roman"/>
          <w:color w:val="auto"/>
          <w:sz w:val="22"/>
          <w:szCs w:val="22"/>
        </w:rPr>
        <w:t>den</w:t>
      </w:r>
      <w:r w:rsidRPr="30DC39AD">
        <w:rPr>
          <w:rFonts w:ascii="Calibri" w:eastAsia="Calibri" w:hAnsi="Calibri" w:cs="Times New Roman"/>
          <w:color w:val="auto"/>
          <w:sz w:val="22"/>
          <w:szCs w:val="22"/>
        </w:rPr>
        <w:t xml:space="preserve"> (zomer 2026), dus over boekjaar 2026 effectief. </w:t>
      </w:r>
      <w:r w:rsidR="00CB6B07">
        <w:rPr>
          <w:rFonts w:ascii="Calibri" w:eastAsia="Calibri" w:hAnsi="Calibri" w:cs="Times New Roman"/>
          <w:color w:val="auto"/>
          <w:sz w:val="22"/>
          <w:szCs w:val="22"/>
        </w:rPr>
        <w:t xml:space="preserve">Maar ook mogelijk dat dit </w:t>
      </w:r>
      <w:r w:rsidR="00D05005">
        <w:rPr>
          <w:rFonts w:ascii="Calibri" w:eastAsia="Calibri" w:hAnsi="Calibri" w:cs="Times New Roman"/>
          <w:color w:val="auto"/>
          <w:sz w:val="22"/>
          <w:szCs w:val="22"/>
        </w:rPr>
        <w:t xml:space="preserve">bij de evaluatie van feedback gelijk getrokken zal worden met de effectieve datum van </w:t>
      </w:r>
      <w:r w:rsidR="00221522">
        <w:rPr>
          <w:rFonts w:ascii="Calibri" w:eastAsia="Calibri" w:hAnsi="Calibri" w:cs="Times New Roman"/>
          <w:color w:val="auto"/>
          <w:sz w:val="22"/>
          <w:szCs w:val="22"/>
        </w:rPr>
        <w:t>S</w:t>
      </w:r>
      <w:r w:rsidR="00D05005">
        <w:rPr>
          <w:rFonts w:ascii="Calibri" w:eastAsia="Calibri" w:hAnsi="Calibri" w:cs="Times New Roman"/>
          <w:color w:val="auto"/>
          <w:sz w:val="22"/>
          <w:szCs w:val="22"/>
        </w:rPr>
        <w:t>tandaard 240.</w:t>
      </w:r>
    </w:p>
    <w:p w14:paraId="5626C712" w14:textId="77777777" w:rsidR="00C34EB4" w:rsidRDefault="00C34EB4" w:rsidP="00D578E6">
      <w:pPr>
        <w:pStyle w:val="Default"/>
        <w:ind w:left="360"/>
        <w:rPr>
          <w:rFonts w:ascii="Calibri" w:eastAsia="Calibri" w:hAnsi="Calibri" w:cs="Times New Roman"/>
          <w:color w:val="auto"/>
          <w:sz w:val="22"/>
          <w:szCs w:val="22"/>
        </w:rPr>
      </w:pPr>
    </w:p>
    <w:p w14:paraId="4480FF8C" w14:textId="1E88B326" w:rsidR="00192849" w:rsidRDefault="00E11E7D" w:rsidP="0095506E">
      <w:pPr>
        <w:pStyle w:val="Geenafstand"/>
        <w:rPr>
          <w:i/>
          <w:iCs/>
        </w:rPr>
      </w:pPr>
      <w:r>
        <w:rPr>
          <w:i/>
          <w:iCs/>
        </w:rPr>
        <w:t xml:space="preserve">Aanvullende analyse gevolgen internationale aanpassingen </w:t>
      </w:r>
      <w:proofErr w:type="spellStart"/>
      <w:r>
        <w:rPr>
          <w:i/>
          <w:iCs/>
        </w:rPr>
        <w:t>ISA’s</w:t>
      </w:r>
      <w:proofErr w:type="spellEnd"/>
      <w:r>
        <w:rPr>
          <w:i/>
          <w:iCs/>
        </w:rPr>
        <w:t>:</w:t>
      </w:r>
      <w:r w:rsidRPr="0095506E">
        <w:rPr>
          <w:i/>
          <w:iCs/>
        </w:rPr>
        <w:t xml:space="preserve"> </w:t>
      </w:r>
    </w:p>
    <w:p w14:paraId="2CACBD82" w14:textId="6DE93417" w:rsidR="006A7054" w:rsidRDefault="006A7054" w:rsidP="00D578E6">
      <w:pPr>
        <w:pStyle w:val="Geenafstand"/>
        <w:numPr>
          <w:ilvl w:val="0"/>
          <w:numId w:val="13"/>
        </w:numPr>
        <w:rPr>
          <w:i/>
          <w:iCs/>
        </w:rPr>
      </w:pPr>
      <w:r>
        <w:rPr>
          <w:i/>
          <w:iCs/>
        </w:rPr>
        <w:t>W</w:t>
      </w:r>
      <w:r w:rsidRPr="006A7054">
        <w:rPr>
          <w:i/>
          <w:iCs/>
        </w:rPr>
        <w:t xml:space="preserve">aarop wijken </w:t>
      </w:r>
      <w:r>
        <w:rPr>
          <w:i/>
          <w:iCs/>
        </w:rPr>
        <w:t xml:space="preserve">de </w:t>
      </w:r>
      <w:proofErr w:type="spellStart"/>
      <w:r w:rsidRPr="006A7054">
        <w:rPr>
          <w:i/>
          <w:iCs/>
        </w:rPr>
        <w:t>ED</w:t>
      </w:r>
      <w:r>
        <w:rPr>
          <w:i/>
          <w:iCs/>
        </w:rPr>
        <w:t>’s</w:t>
      </w:r>
      <w:proofErr w:type="spellEnd"/>
      <w:r w:rsidRPr="006A7054">
        <w:rPr>
          <w:i/>
          <w:iCs/>
        </w:rPr>
        <w:t xml:space="preserve"> ISA 240 en 570 af van de huidige regel</w:t>
      </w:r>
      <w:r>
        <w:rPr>
          <w:i/>
          <w:iCs/>
        </w:rPr>
        <w:t>gev</w:t>
      </w:r>
      <w:r w:rsidRPr="006A7054">
        <w:rPr>
          <w:i/>
          <w:iCs/>
        </w:rPr>
        <w:t>ing in N</w:t>
      </w:r>
      <w:r>
        <w:rPr>
          <w:i/>
          <w:iCs/>
        </w:rPr>
        <w:t>ederland?</w:t>
      </w:r>
    </w:p>
    <w:p w14:paraId="4A051087" w14:textId="4B9B6E56" w:rsidR="00E42D2C" w:rsidRDefault="00192849" w:rsidP="00D578E6">
      <w:pPr>
        <w:pStyle w:val="Geenafstand"/>
        <w:numPr>
          <w:ilvl w:val="0"/>
          <w:numId w:val="13"/>
        </w:numPr>
        <w:rPr>
          <w:i/>
          <w:iCs/>
        </w:rPr>
      </w:pPr>
      <w:r>
        <w:rPr>
          <w:i/>
          <w:iCs/>
        </w:rPr>
        <w:t xml:space="preserve">Zijn er van uit de exposure </w:t>
      </w:r>
      <w:proofErr w:type="spellStart"/>
      <w:r>
        <w:rPr>
          <w:i/>
          <w:iCs/>
        </w:rPr>
        <w:t>drafts</w:t>
      </w:r>
      <w:proofErr w:type="spellEnd"/>
      <w:r>
        <w:rPr>
          <w:i/>
          <w:iCs/>
        </w:rPr>
        <w:t xml:space="preserve"> </w:t>
      </w:r>
      <w:r w:rsidR="00E42D2C">
        <w:rPr>
          <w:i/>
          <w:iCs/>
        </w:rPr>
        <w:t>ISA 240 en 570 onderwerpen</w:t>
      </w:r>
      <w:r>
        <w:rPr>
          <w:i/>
          <w:iCs/>
        </w:rPr>
        <w:t xml:space="preserve"> die we willen benadrukken in </w:t>
      </w:r>
      <w:r w:rsidR="00E42D2C">
        <w:rPr>
          <w:i/>
          <w:iCs/>
        </w:rPr>
        <w:t xml:space="preserve">de NL </w:t>
      </w:r>
      <w:r w:rsidR="00221522">
        <w:rPr>
          <w:i/>
          <w:iCs/>
        </w:rPr>
        <w:t>S</w:t>
      </w:r>
      <w:r w:rsidR="00E42D2C">
        <w:rPr>
          <w:i/>
          <w:iCs/>
        </w:rPr>
        <w:t>tandaard 700 aangaande rapportering over fraude en continuïteit?</w:t>
      </w:r>
    </w:p>
    <w:p w14:paraId="5CBBA75B" w14:textId="0A8B0927" w:rsidR="006A7054" w:rsidRDefault="006A7054" w:rsidP="0095506E">
      <w:pPr>
        <w:pStyle w:val="Geenafstand"/>
        <w:numPr>
          <w:ilvl w:val="0"/>
          <w:numId w:val="13"/>
        </w:numPr>
        <w:rPr>
          <w:i/>
          <w:iCs/>
        </w:rPr>
      </w:pPr>
      <w:r w:rsidRPr="0095506E">
        <w:rPr>
          <w:i/>
          <w:iCs/>
        </w:rPr>
        <w:t>Wat betekenen de afwijkingen met internationale regelgeving voor het al dan niet willen handhaven van de NL afwijkingen?</w:t>
      </w:r>
    </w:p>
    <w:p w14:paraId="5A568BF7" w14:textId="77777777" w:rsidR="004102A1" w:rsidRDefault="004102A1" w:rsidP="00D578E6">
      <w:pPr>
        <w:pStyle w:val="Geenafstand"/>
      </w:pPr>
      <w:bookmarkStart w:id="0" w:name="_Hlk147843208"/>
    </w:p>
    <w:bookmarkEnd w:id="0"/>
    <w:p w14:paraId="4836E722" w14:textId="536372D5" w:rsidR="004102A1" w:rsidRPr="00A94D8D" w:rsidRDefault="004102A1" w:rsidP="00D578E6">
      <w:pPr>
        <w:pStyle w:val="Geenafstand"/>
        <w:numPr>
          <w:ilvl w:val="0"/>
          <w:numId w:val="24"/>
        </w:numPr>
        <w:rPr>
          <w:b/>
          <w:bCs/>
        </w:rPr>
      </w:pPr>
      <w:r w:rsidRPr="00A94D8D">
        <w:rPr>
          <w:b/>
          <w:bCs/>
        </w:rPr>
        <w:t>Wat is het gevolg voor de beoogde gebruikers en stakeholders?</w:t>
      </w:r>
    </w:p>
    <w:p w14:paraId="118C59B9" w14:textId="77777777" w:rsidR="004102A1" w:rsidRDefault="004102A1" w:rsidP="00D578E6">
      <w:pPr>
        <w:pStyle w:val="Geenafstand"/>
      </w:pPr>
    </w:p>
    <w:p w14:paraId="34F0D9E6" w14:textId="24E4C225" w:rsidR="00DC2F71" w:rsidRDefault="00DC2F71" w:rsidP="00D578E6">
      <w:pPr>
        <w:pStyle w:val="Geenafstand"/>
      </w:pPr>
      <w:r>
        <w:t xml:space="preserve">Met de aanpassing van </w:t>
      </w:r>
      <w:r w:rsidR="00221522">
        <w:t>S</w:t>
      </w:r>
      <w:r>
        <w:t xml:space="preserve">tandaard 700 was destijds beoogd meer transparantie aan het maatschappelijk verkeer te bieden over hoe de accountant bij de controle van de jaarrekening inspeelt op risico’s ten aanzien van continuïteit en fraude. </w:t>
      </w:r>
    </w:p>
    <w:p w14:paraId="6A515EB5" w14:textId="77777777" w:rsidR="00DC2F71" w:rsidRDefault="00DC2F71" w:rsidP="00D578E6">
      <w:pPr>
        <w:pStyle w:val="Geenafstand"/>
      </w:pPr>
    </w:p>
    <w:p w14:paraId="2C77F8EC" w14:textId="2144C35C" w:rsidR="005F20AF" w:rsidRPr="008A5016" w:rsidRDefault="6DFE2CC1" w:rsidP="00D578E6">
      <w:pPr>
        <w:pStyle w:val="Geenafstand"/>
        <w:rPr>
          <w:strike/>
        </w:rPr>
      </w:pPr>
      <w:r>
        <w:t xml:space="preserve">Vanuit de analyse van de secties in de controleverklaringen over de verslagjaren 2021 en 2022 </w:t>
      </w:r>
      <w:r w:rsidR="00AE1D0C">
        <w:t xml:space="preserve"> </w:t>
      </w:r>
      <w:r>
        <w:t xml:space="preserve">hebben we reeds een beeld </w:t>
      </w:r>
      <w:r w:rsidR="574E8937">
        <w:t xml:space="preserve">opgehaald van de wensen van een aantal gebruikers van </w:t>
      </w:r>
      <w:r w:rsidR="00AE1D0C">
        <w:t xml:space="preserve">deze </w:t>
      </w:r>
      <w:r w:rsidR="574E8937">
        <w:t>controleverklaringen</w:t>
      </w:r>
      <w:r w:rsidR="00E11E7D">
        <w:t xml:space="preserve">. </w:t>
      </w:r>
      <w:r w:rsidR="574E8937">
        <w:t xml:space="preserve">De gebruikers </w:t>
      </w:r>
      <w:r w:rsidR="00AE1D0C">
        <w:t xml:space="preserve">van de jaarrekeningen van de </w:t>
      </w:r>
      <w:proofErr w:type="spellStart"/>
      <w:r w:rsidR="000C28CE">
        <w:t>oob’s</w:t>
      </w:r>
      <w:proofErr w:type="spellEnd"/>
      <w:r w:rsidR="00AE1D0C">
        <w:t xml:space="preserve">- </w:t>
      </w:r>
      <w:r w:rsidR="00E11E7D">
        <w:t>gaven</w:t>
      </w:r>
      <w:r w:rsidR="00EB591C">
        <w:t xml:space="preserve"> aan</w:t>
      </w:r>
      <w:r w:rsidR="574E8937">
        <w:t xml:space="preserve"> gebaat </w:t>
      </w:r>
      <w:r w:rsidR="00EB591C">
        <w:t xml:space="preserve">te zijn </w:t>
      </w:r>
      <w:r w:rsidR="574E8937">
        <w:t xml:space="preserve">bij transparante verslaggeving over fraude en continuïteit in de jaarrekening en </w:t>
      </w:r>
      <w:r w:rsidR="00EB591C">
        <w:t xml:space="preserve">in het </w:t>
      </w:r>
      <w:proofErr w:type="spellStart"/>
      <w:r w:rsidR="00EB591C">
        <w:t>bestuurs</w:t>
      </w:r>
      <w:r w:rsidR="574E8937">
        <w:t>verslag</w:t>
      </w:r>
      <w:proofErr w:type="spellEnd"/>
      <w:r w:rsidR="00EB591C">
        <w:t xml:space="preserve">. </w:t>
      </w:r>
      <w:r w:rsidR="574E8937">
        <w:t xml:space="preserve"> </w:t>
      </w:r>
    </w:p>
    <w:p w14:paraId="38F5F56F" w14:textId="77777777" w:rsidR="005F20AF" w:rsidRDefault="005F20AF" w:rsidP="00D578E6">
      <w:pPr>
        <w:pStyle w:val="Geenafstand"/>
      </w:pPr>
    </w:p>
    <w:p w14:paraId="4E7E1D2F" w14:textId="3AF2C5BC" w:rsidR="00EB10AA" w:rsidRDefault="00EB10AA" w:rsidP="00D578E6">
      <w:pPr>
        <w:pStyle w:val="Geenafstand"/>
      </w:pPr>
      <w:r>
        <w:t>Het is belangrijk om bij de evaluatie goede</w:t>
      </w:r>
      <w:r w:rsidR="00DC2F71" w:rsidRPr="00DC2F71">
        <w:t xml:space="preserve"> afweging</w:t>
      </w:r>
      <w:r w:rsidR="005F20AF">
        <w:t>en</w:t>
      </w:r>
      <w:r w:rsidR="00DC2F71" w:rsidRPr="00DC2F71">
        <w:t xml:space="preserve"> </w:t>
      </w:r>
      <w:r>
        <w:t>te maken</w:t>
      </w:r>
      <w:r w:rsidR="00DC2F71" w:rsidRPr="00DC2F71">
        <w:t xml:space="preserve"> vanuit de rollen en verantwoordelijkheden van verschillende partijen: </w:t>
      </w:r>
    </w:p>
    <w:p w14:paraId="3276DD16" w14:textId="4AB88CD6" w:rsidR="00EB10AA" w:rsidRDefault="00DC2F71" w:rsidP="00D578E6">
      <w:pPr>
        <w:pStyle w:val="Geenafstand"/>
        <w:numPr>
          <w:ilvl w:val="0"/>
          <w:numId w:val="13"/>
        </w:numPr>
      </w:pPr>
      <w:r w:rsidRPr="00DC2F71">
        <w:t xml:space="preserve">(management van) de entiteit </w:t>
      </w:r>
      <w:r w:rsidR="005F20AF">
        <w:t>en</w:t>
      </w:r>
      <w:r w:rsidRPr="00DC2F71">
        <w:t xml:space="preserve"> toezichthoudende organen (zoals commissarissen, audit commissie)</w:t>
      </w:r>
      <w:r w:rsidR="005F20AF">
        <w:t>;</w:t>
      </w:r>
    </w:p>
    <w:p w14:paraId="44F8B006" w14:textId="58CF2F54" w:rsidR="00EB10AA" w:rsidRDefault="00DC2F71" w:rsidP="00D578E6">
      <w:pPr>
        <w:pStyle w:val="Geenafstand"/>
        <w:numPr>
          <w:ilvl w:val="0"/>
          <w:numId w:val="13"/>
        </w:numPr>
      </w:pPr>
      <w:r w:rsidRPr="00DC2F71">
        <w:t>de belangrijkste gebruikers (aandeelhouders, investeerders en financiers)</w:t>
      </w:r>
      <w:r w:rsidR="005F20AF">
        <w:t>;</w:t>
      </w:r>
    </w:p>
    <w:p w14:paraId="656020F1" w14:textId="53176E8B" w:rsidR="00DC2F71" w:rsidRPr="00DC2F71" w:rsidRDefault="00DC2F71" w:rsidP="00D578E6">
      <w:pPr>
        <w:pStyle w:val="Geenafstand"/>
        <w:numPr>
          <w:ilvl w:val="0"/>
          <w:numId w:val="13"/>
        </w:numPr>
      </w:pPr>
      <w:r w:rsidRPr="00DC2F71">
        <w:t>de accountants zelf.</w:t>
      </w:r>
    </w:p>
    <w:p w14:paraId="6D9773C1" w14:textId="77777777" w:rsidR="00DC2F71" w:rsidRDefault="00DC2F71" w:rsidP="00D578E6">
      <w:pPr>
        <w:pStyle w:val="Geenafstand"/>
      </w:pPr>
    </w:p>
    <w:p w14:paraId="504799EE" w14:textId="0E987FFD" w:rsidR="00F26539" w:rsidRDefault="00EB76E5" w:rsidP="0095506E">
      <w:pPr>
        <w:pStyle w:val="Geenafstand"/>
        <w:rPr>
          <w:rStyle w:val="Intensievebenadrukking"/>
          <w:b w:val="0"/>
          <w:bCs w:val="0"/>
          <w:i w:val="0"/>
          <w:iCs w:val="0"/>
          <w:color w:val="auto"/>
        </w:rPr>
      </w:pPr>
      <w:r>
        <w:t xml:space="preserve">De wijze waarop we input zullen verzamelen van stakeholders kan in de vorm van een </w:t>
      </w:r>
      <w:r w:rsidR="575CCF1C">
        <w:t>enquête</w:t>
      </w:r>
      <w:r w:rsidR="00F26539">
        <w:t xml:space="preserve"> </w:t>
      </w:r>
    </w:p>
    <w:p w14:paraId="56DB1D37" w14:textId="0B72B35A" w:rsidR="005F20AF" w:rsidRDefault="00CD3C61" w:rsidP="00D578E6">
      <w:pPr>
        <w:pStyle w:val="Geenafstand"/>
      </w:pPr>
      <w:r w:rsidRPr="0095506E">
        <w:rPr>
          <w:rStyle w:val="Intensievebenadrukking"/>
          <w:b w:val="0"/>
          <w:bCs w:val="0"/>
          <w:i w:val="0"/>
          <w:iCs w:val="0"/>
          <w:color w:val="auto"/>
        </w:rPr>
        <w:t>(</w:t>
      </w:r>
      <w:r w:rsidR="00F26539" w:rsidRPr="0095506E">
        <w:rPr>
          <w:rStyle w:val="Intensievebenadrukking"/>
          <w:b w:val="0"/>
          <w:bCs w:val="0"/>
          <w:i w:val="0"/>
          <w:iCs w:val="0"/>
          <w:color w:val="auto"/>
        </w:rPr>
        <w:t xml:space="preserve">via </w:t>
      </w:r>
      <w:r w:rsidR="4BA3127F" w:rsidRPr="0095506E">
        <w:rPr>
          <w:rStyle w:val="Intensievebenadrukking"/>
          <w:b w:val="0"/>
          <w:bCs w:val="0"/>
          <w:i w:val="0"/>
          <w:iCs w:val="0"/>
          <w:color w:val="auto"/>
        </w:rPr>
        <w:t>enquête</w:t>
      </w:r>
      <w:r w:rsidR="00F26539" w:rsidRPr="0095506E">
        <w:rPr>
          <w:rStyle w:val="Intensievebenadrukking"/>
          <w:b w:val="0"/>
          <w:bCs w:val="0"/>
          <w:i w:val="0"/>
          <w:iCs w:val="0"/>
          <w:color w:val="auto"/>
        </w:rPr>
        <w:t xml:space="preserve"> rechtstreeks</w:t>
      </w:r>
      <w:r w:rsidRPr="0095506E">
        <w:rPr>
          <w:rStyle w:val="Intensievebenadrukking"/>
          <w:b w:val="0"/>
          <w:bCs w:val="0"/>
          <w:i w:val="0"/>
          <w:iCs w:val="0"/>
          <w:color w:val="auto"/>
        </w:rPr>
        <w:t xml:space="preserve">, </w:t>
      </w:r>
      <w:r w:rsidR="00F26539" w:rsidRPr="0095506E">
        <w:rPr>
          <w:rStyle w:val="Intensievebenadrukking"/>
          <w:b w:val="0"/>
          <w:bCs w:val="0"/>
          <w:i w:val="0"/>
          <w:iCs w:val="0"/>
          <w:color w:val="auto"/>
        </w:rPr>
        <w:t>via accountantsorganisaties en serviceorganisaties</w:t>
      </w:r>
      <w:r w:rsidRPr="0095506E">
        <w:rPr>
          <w:rStyle w:val="Intensievebenadrukking"/>
          <w:b w:val="0"/>
          <w:bCs w:val="0"/>
          <w:i w:val="0"/>
          <w:iCs w:val="0"/>
          <w:color w:val="auto"/>
        </w:rPr>
        <w:t>)</w:t>
      </w:r>
      <w:r w:rsidR="00F26539" w:rsidRPr="0095506E">
        <w:rPr>
          <w:rStyle w:val="Intensievebenadrukking"/>
          <w:b w:val="0"/>
          <w:bCs w:val="0"/>
          <w:i w:val="0"/>
          <w:iCs w:val="0"/>
          <w:color w:val="auto"/>
        </w:rPr>
        <w:t xml:space="preserve"> </w:t>
      </w:r>
      <w:r w:rsidR="00EB76E5">
        <w:t xml:space="preserve">of ronde tafelbijeenkomsten </w:t>
      </w:r>
      <w:r>
        <w:t xml:space="preserve">( per doelgroep) </w:t>
      </w:r>
      <w:r w:rsidR="00F748A9">
        <w:t>plaatsvinden</w:t>
      </w:r>
      <w:r w:rsidR="00EB76E5">
        <w:t xml:space="preserve">, en wordt verder vormgeven in het evaluatieproces door de NBA. </w:t>
      </w:r>
      <w:r w:rsidR="002D32F7">
        <w:t>Hieronder is een eerste analyse opgenomen van de te benaderen stakeholders</w:t>
      </w:r>
    </w:p>
    <w:p w14:paraId="1126419C" w14:textId="77777777" w:rsidR="00DC2F71" w:rsidRDefault="00DC2F71" w:rsidP="00D578E6">
      <w:pPr>
        <w:pStyle w:val="Geenafstand"/>
      </w:pPr>
    </w:p>
    <w:p w14:paraId="25150E46" w14:textId="63E089F5" w:rsidR="009E1855" w:rsidRPr="000D5D1C" w:rsidRDefault="009E1855" w:rsidP="00D578E6">
      <w:pPr>
        <w:pStyle w:val="Geenafstand"/>
        <w:rPr>
          <w:i/>
          <w:iCs/>
        </w:rPr>
      </w:pPr>
      <w:r w:rsidRPr="000D5D1C">
        <w:rPr>
          <w:i/>
          <w:iCs/>
        </w:rPr>
        <w:t>Te benaderen stakeholders</w:t>
      </w:r>
      <w:r w:rsidR="000D5D1C" w:rsidRPr="000D5D1C">
        <w:rPr>
          <w:i/>
          <w:iCs/>
        </w:rPr>
        <w:t xml:space="preserve">: </w:t>
      </w:r>
      <w:r w:rsidRPr="000D5D1C">
        <w:rPr>
          <w:i/>
          <w:iCs/>
        </w:rPr>
        <w:t>Gebruikers en opstellers</w:t>
      </w:r>
      <w:r w:rsidR="00A350C7">
        <w:rPr>
          <w:i/>
          <w:iCs/>
        </w:rPr>
        <w:t xml:space="preserve"> en toezichthouders</w:t>
      </w:r>
    </w:p>
    <w:p w14:paraId="33D14E8D" w14:textId="127C0246" w:rsidR="009E1855" w:rsidRPr="00AF3D0D" w:rsidRDefault="009E1855" w:rsidP="00D578E6">
      <w:pPr>
        <w:pStyle w:val="Geenafstand"/>
        <w:numPr>
          <w:ilvl w:val="0"/>
          <w:numId w:val="13"/>
        </w:numPr>
        <w:ind w:left="284" w:hanging="284"/>
      </w:pPr>
      <w:r>
        <w:t>Ondernemingen, bestuurders (</w:t>
      </w:r>
      <w:proofErr w:type="spellStart"/>
      <w:r>
        <w:t>CFO’s</w:t>
      </w:r>
      <w:proofErr w:type="spellEnd"/>
      <w:r>
        <w:t xml:space="preserve"> en </w:t>
      </w:r>
      <w:proofErr w:type="spellStart"/>
      <w:r>
        <w:t>CEO's</w:t>
      </w:r>
      <w:proofErr w:type="spellEnd"/>
      <w:r>
        <w:t>), toezichthouders / auditcommissieleden</w:t>
      </w:r>
      <w:r w:rsidRPr="00AF3D0D">
        <w:t xml:space="preserve"> </w:t>
      </w:r>
      <w:r w:rsidR="002D32F7">
        <w:t>;</w:t>
      </w:r>
    </w:p>
    <w:p w14:paraId="7FBF36C2" w14:textId="0F90AF4C" w:rsidR="009E1855" w:rsidRDefault="00247DD1" w:rsidP="00D578E6">
      <w:pPr>
        <w:pStyle w:val="Geenafstand"/>
        <w:numPr>
          <w:ilvl w:val="0"/>
          <w:numId w:val="13"/>
        </w:numPr>
        <w:ind w:left="284" w:hanging="284"/>
      </w:pPr>
      <w:r>
        <w:t xml:space="preserve">NBA </w:t>
      </w:r>
      <w:r w:rsidR="009E1855">
        <w:t>Stakeholdersforum (o.a. Eumedion, VEB, VEUO, VNO/NCW)</w:t>
      </w:r>
      <w:r w:rsidR="002D32F7">
        <w:t xml:space="preserve"> en vertegenwoordiging MKB (o.a. </w:t>
      </w:r>
      <w:r w:rsidR="000C28CE">
        <w:t xml:space="preserve">MKB-NL en </w:t>
      </w:r>
      <w:proofErr w:type="spellStart"/>
      <w:r w:rsidR="002D32F7">
        <w:t>FBNed</w:t>
      </w:r>
      <w:proofErr w:type="spellEnd"/>
      <w:r w:rsidR="002D32F7">
        <w:t>);</w:t>
      </w:r>
    </w:p>
    <w:p w14:paraId="41AC9E80" w14:textId="52A4B5A6" w:rsidR="002D32F7" w:rsidRDefault="002D32F7" w:rsidP="00D578E6">
      <w:pPr>
        <w:pStyle w:val="Geenafstand"/>
        <w:numPr>
          <w:ilvl w:val="0"/>
          <w:numId w:val="13"/>
        </w:numPr>
        <w:ind w:left="284" w:hanging="284"/>
      </w:pPr>
      <w:r>
        <w:t>Banken, investeerders / participatiemaatschappijen (o.a. NVP)</w:t>
      </w:r>
    </w:p>
    <w:p w14:paraId="65A4B1E0" w14:textId="66075DF0" w:rsidR="009E1855" w:rsidRDefault="009E1855" w:rsidP="00D578E6">
      <w:pPr>
        <w:pStyle w:val="Geenafstand"/>
        <w:numPr>
          <w:ilvl w:val="0"/>
          <w:numId w:val="13"/>
        </w:numPr>
        <w:ind w:left="284" w:hanging="284"/>
      </w:pPr>
      <w:r>
        <w:lastRenderedPageBreak/>
        <w:t>Sector</w:t>
      </w:r>
      <w:r w:rsidR="005E23D7">
        <w:t>en en organisaties van toezichthouders (</w:t>
      </w:r>
      <w:proofErr w:type="spellStart"/>
      <w:r w:rsidR="005E23D7">
        <w:t>bijv</w:t>
      </w:r>
      <w:proofErr w:type="spellEnd"/>
      <w:r w:rsidR="005E23D7">
        <w:t xml:space="preserve"> </w:t>
      </w:r>
      <w:r>
        <w:t xml:space="preserve"> Verbond van verzekeraars</w:t>
      </w:r>
      <w:r w:rsidR="005E23D7">
        <w:t xml:space="preserve">, </w:t>
      </w:r>
      <w:r w:rsidR="00A17916">
        <w:t>WOCO-</w:t>
      </w:r>
      <w:r w:rsidR="005E23D7">
        <w:t xml:space="preserve">sector) </w:t>
      </w:r>
    </w:p>
    <w:p w14:paraId="7A48D2E3" w14:textId="77777777" w:rsidR="009E1855" w:rsidRDefault="009E1855" w:rsidP="00D578E6">
      <w:pPr>
        <w:pStyle w:val="Geenafstand"/>
        <w:numPr>
          <w:ilvl w:val="0"/>
          <w:numId w:val="13"/>
        </w:numPr>
        <w:ind w:left="284" w:hanging="284"/>
        <w:rPr>
          <w:lang w:val="en-US"/>
        </w:rPr>
      </w:pPr>
      <w:r w:rsidRPr="30DC39AD">
        <w:rPr>
          <w:lang w:val="en-US"/>
        </w:rPr>
        <w:t>AFM</w:t>
      </w:r>
    </w:p>
    <w:p w14:paraId="18C17D2E" w14:textId="0591F816" w:rsidR="000C28CE" w:rsidRPr="002C75D4" w:rsidRDefault="000C28CE" w:rsidP="00D578E6">
      <w:pPr>
        <w:pStyle w:val="Geenafstand"/>
        <w:numPr>
          <w:ilvl w:val="0"/>
          <w:numId w:val="13"/>
        </w:numPr>
        <w:ind w:left="284" w:hanging="284"/>
      </w:pPr>
      <w:r w:rsidRPr="002C75D4">
        <w:t>Raad van de jaarver</w:t>
      </w:r>
      <w:r>
        <w:t>slaggeving</w:t>
      </w:r>
    </w:p>
    <w:p w14:paraId="3A9C8BDD" w14:textId="0D3DA5C9" w:rsidR="005E23D7" w:rsidRPr="005E23D7" w:rsidRDefault="005E23D7" w:rsidP="00D578E6">
      <w:pPr>
        <w:pStyle w:val="Geenafstand"/>
        <w:numPr>
          <w:ilvl w:val="0"/>
          <w:numId w:val="13"/>
        </w:numPr>
        <w:ind w:left="284" w:hanging="284"/>
      </w:pPr>
      <w:r w:rsidRPr="00E20AD7">
        <w:t>Ministeries (</w:t>
      </w:r>
      <w:r w:rsidR="002D32F7">
        <w:t xml:space="preserve">EZ, </w:t>
      </w:r>
      <w:r w:rsidRPr="00E20AD7">
        <w:t>Financiën / J</w:t>
      </w:r>
      <w:r w:rsidRPr="005E23D7">
        <w:t>ustitie en V</w:t>
      </w:r>
      <w:r>
        <w:t>eiligheid</w:t>
      </w:r>
      <w:r w:rsidR="00E20AD7">
        <w:t>)</w:t>
      </w:r>
    </w:p>
    <w:p w14:paraId="56CF399C" w14:textId="77777777" w:rsidR="009E1855" w:rsidRPr="005E23D7" w:rsidRDefault="009E1855" w:rsidP="00D578E6">
      <w:pPr>
        <w:pStyle w:val="Geenafstand"/>
        <w:ind w:left="284"/>
      </w:pPr>
    </w:p>
    <w:p w14:paraId="66E20C48" w14:textId="77777777" w:rsidR="009E1855" w:rsidRDefault="009E1855" w:rsidP="00D578E6">
      <w:pPr>
        <w:pStyle w:val="Geenafstand"/>
        <w:rPr>
          <w:i/>
          <w:iCs/>
          <w:lang w:val="en-US"/>
        </w:rPr>
      </w:pPr>
      <w:r w:rsidRPr="30DC39AD">
        <w:rPr>
          <w:i/>
          <w:iCs/>
          <w:lang w:val="en-US"/>
        </w:rPr>
        <w:t>Accountants</w:t>
      </w:r>
    </w:p>
    <w:p w14:paraId="08FE149B" w14:textId="43AB9EE6" w:rsidR="009E1855" w:rsidRPr="00E20AD7" w:rsidRDefault="009E1855" w:rsidP="00D578E6">
      <w:pPr>
        <w:pStyle w:val="Geenafstand"/>
        <w:numPr>
          <w:ilvl w:val="0"/>
          <w:numId w:val="13"/>
        </w:numPr>
        <w:ind w:left="284" w:hanging="284"/>
      </w:pPr>
      <w:r>
        <w:t>Individuele accountants (doelgroep</w:t>
      </w:r>
      <w:r w:rsidR="00E20AD7">
        <w:t>en openbaar /</w:t>
      </w:r>
      <w:r w:rsidR="00E20AD7" w:rsidRPr="0095506E">
        <w:rPr>
          <w:lang w:val="en-US"/>
        </w:rPr>
        <w:t xml:space="preserve"> interne accountants / </w:t>
      </w:r>
      <w:proofErr w:type="spellStart"/>
      <w:r>
        <w:t>AiB</w:t>
      </w:r>
      <w:proofErr w:type="spellEnd"/>
      <w:r>
        <w:t xml:space="preserve"> </w:t>
      </w:r>
      <w:r w:rsidR="00E20AD7">
        <w:t>(bijv</w:t>
      </w:r>
      <w:r w:rsidR="00313F59">
        <w:t>.</w:t>
      </w:r>
      <w:r w:rsidR="00E20AD7">
        <w:t xml:space="preserve"> </w:t>
      </w:r>
      <w:r>
        <w:t>CEO / CFO en commissaris functie</w:t>
      </w:r>
      <w:r w:rsidR="00E20AD7">
        <w:t xml:space="preserve"> / Young Profs</w:t>
      </w:r>
      <w:r w:rsidR="004A6590">
        <w:t xml:space="preserve"> / MKB</w:t>
      </w:r>
      <w:r w:rsidR="00E20AD7">
        <w:t>)</w:t>
      </w:r>
    </w:p>
    <w:p w14:paraId="166927BF" w14:textId="03FDACA4" w:rsidR="009E1855" w:rsidRDefault="00E20AD7" w:rsidP="00D578E6">
      <w:pPr>
        <w:pStyle w:val="Geenafstand"/>
        <w:numPr>
          <w:ilvl w:val="0"/>
          <w:numId w:val="13"/>
        </w:numPr>
        <w:ind w:left="284" w:hanging="284"/>
      </w:pPr>
      <w:r>
        <w:t>Accountantsorganisaties en niet</w:t>
      </w:r>
      <w:r w:rsidR="00431454">
        <w:t>-</w:t>
      </w:r>
      <w:proofErr w:type="spellStart"/>
      <w:r w:rsidR="00431454">
        <w:t>wta</w:t>
      </w:r>
      <w:proofErr w:type="spellEnd"/>
      <w:r w:rsidR="00431454">
        <w:t>-kantoren</w:t>
      </w:r>
    </w:p>
    <w:p w14:paraId="71499B57" w14:textId="746D3212" w:rsidR="009E1855" w:rsidRDefault="00E10360" w:rsidP="00D578E6">
      <w:pPr>
        <w:pStyle w:val="Geenafstand"/>
        <w:numPr>
          <w:ilvl w:val="0"/>
          <w:numId w:val="13"/>
        </w:numPr>
        <w:ind w:left="284" w:hanging="284"/>
      </w:pPr>
      <w:proofErr w:type="spellStart"/>
      <w:r>
        <w:t>O</w:t>
      </w:r>
      <w:r w:rsidR="00431454">
        <w:t>ob</w:t>
      </w:r>
      <w:proofErr w:type="spellEnd"/>
      <w:r>
        <w:t>-</w:t>
      </w:r>
      <w:r w:rsidRPr="00E10360">
        <w:t xml:space="preserve"> </w:t>
      </w:r>
      <w:r>
        <w:t>accountantsorganisaties</w:t>
      </w:r>
      <w:r w:rsidR="009E1855">
        <w:t xml:space="preserve"> (via </w:t>
      </w:r>
      <w:r>
        <w:t xml:space="preserve">SGPB en </w:t>
      </w:r>
      <w:r w:rsidR="009E1855">
        <w:t>vaktechnisch overleg)</w:t>
      </w:r>
    </w:p>
    <w:p w14:paraId="2FD9415B" w14:textId="75153A0D" w:rsidR="009E1855" w:rsidRPr="009943B6" w:rsidRDefault="009E1855" w:rsidP="00D578E6">
      <w:pPr>
        <w:pStyle w:val="Geenafstand"/>
        <w:numPr>
          <w:ilvl w:val="0"/>
          <w:numId w:val="13"/>
        </w:numPr>
        <w:ind w:left="284" w:hanging="284"/>
      </w:pPr>
      <w:r>
        <w:t>niet-</w:t>
      </w:r>
      <w:proofErr w:type="spellStart"/>
      <w:r>
        <w:t>oob</w:t>
      </w:r>
      <w:proofErr w:type="spellEnd"/>
      <w:r>
        <w:t xml:space="preserve">-accountantsorganisaties </w:t>
      </w:r>
      <w:r w:rsidR="00E10360">
        <w:t>(via Platform reguliere vergunninghouders en vaktechnisch overleg)</w:t>
      </w:r>
    </w:p>
    <w:p w14:paraId="576B625D" w14:textId="396CF7D9" w:rsidR="009E1855" w:rsidRDefault="004A6590" w:rsidP="00D578E6">
      <w:pPr>
        <w:pStyle w:val="Geenafstand"/>
        <w:numPr>
          <w:ilvl w:val="0"/>
          <w:numId w:val="13"/>
        </w:numPr>
        <w:ind w:left="284" w:hanging="284"/>
        <w:rPr>
          <w:lang w:val="en-US"/>
        </w:rPr>
      </w:pPr>
      <w:proofErr w:type="spellStart"/>
      <w:r>
        <w:rPr>
          <w:lang w:val="en-US"/>
        </w:rPr>
        <w:t>S</w:t>
      </w:r>
      <w:r w:rsidR="009E1855" w:rsidRPr="0095506E">
        <w:rPr>
          <w:lang w:val="en-US"/>
        </w:rPr>
        <w:t>erviceorganisaties</w:t>
      </w:r>
      <w:proofErr w:type="spellEnd"/>
      <w:r w:rsidR="00EA0BA1">
        <w:rPr>
          <w:lang w:val="en-US"/>
        </w:rPr>
        <w:t xml:space="preserve"> (</w:t>
      </w:r>
      <w:proofErr w:type="spellStart"/>
      <w:r w:rsidR="000C28CE">
        <w:rPr>
          <w:lang w:val="en-US"/>
        </w:rPr>
        <w:t>waaronder</w:t>
      </w:r>
      <w:proofErr w:type="spellEnd"/>
      <w:r w:rsidR="000C28CE">
        <w:rPr>
          <w:lang w:val="en-US"/>
        </w:rPr>
        <w:t xml:space="preserve"> </w:t>
      </w:r>
      <w:r w:rsidR="00EA0BA1">
        <w:rPr>
          <w:lang w:val="en-US"/>
        </w:rPr>
        <w:t>SR</w:t>
      </w:r>
      <w:r w:rsidR="000C28CE">
        <w:rPr>
          <w:lang w:val="en-US"/>
        </w:rPr>
        <w:t xml:space="preserve">A, NOVAK, Auxilium, </w:t>
      </w:r>
      <w:proofErr w:type="spellStart"/>
      <w:r w:rsidR="000C28CE">
        <w:rPr>
          <w:lang w:val="en-US"/>
        </w:rPr>
        <w:t>Fiscount</w:t>
      </w:r>
      <w:proofErr w:type="spellEnd"/>
      <w:r w:rsidR="000C28CE">
        <w:rPr>
          <w:lang w:val="en-US"/>
        </w:rPr>
        <w:t xml:space="preserve">, Full Finance en </w:t>
      </w:r>
      <w:proofErr w:type="spellStart"/>
      <w:r w:rsidR="000C28CE">
        <w:rPr>
          <w:lang w:val="en-US"/>
        </w:rPr>
        <w:t>Extendum</w:t>
      </w:r>
      <w:proofErr w:type="spellEnd"/>
      <w:r w:rsidR="00EA0BA1">
        <w:rPr>
          <w:lang w:val="en-US"/>
        </w:rPr>
        <w:t xml:space="preserve">). </w:t>
      </w:r>
    </w:p>
    <w:p w14:paraId="4DA973F5" w14:textId="77777777" w:rsidR="009E1855" w:rsidRDefault="009E1855" w:rsidP="00D578E6">
      <w:pPr>
        <w:pStyle w:val="Geenafstand"/>
      </w:pPr>
    </w:p>
    <w:p w14:paraId="78D2669A" w14:textId="70765F47" w:rsidR="009E1855" w:rsidRPr="009E1855" w:rsidRDefault="009E1855" w:rsidP="00D578E6">
      <w:pPr>
        <w:pStyle w:val="Geenafstand"/>
        <w:rPr>
          <w:i/>
          <w:iCs/>
        </w:rPr>
      </w:pPr>
      <w:r w:rsidRPr="009E1855">
        <w:rPr>
          <w:i/>
          <w:iCs/>
        </w:rPr>
        <w:t xml:space="preserve">Interne </w:t>
      </w:r>
      <w:r>
        <w:rPr>
          <w:i/>
          <w:iCs/>
        </w:rPr>
        <w:t xml:space="preserve">/ NBA </w:t>
      </w:r>
      <w:r w:rsidRPr="009E1855">
        <w:rPr>
          <w:i/>
          <w:iCs/>
        </w:rPr>
        <w:t>stakeholders</w:t>
      </w:r>
    </w:p>
    <w:p w14:paraId="17AE4AA3" w14:textId="77777777" w:rsidR="009E1855" w:rsidRDefault="009E1855" w:rsidP="00D578E6">
      <w:pPr>
        <w:pStyle w:val="Geenafstand"/>
        <w:numPr>
          <w:ilvl w:val="0"/>
          <w:numId w:val="13"/>
        </w:numPr>
        <w:ind w:left="284" w:hanging="284"/>
      </w:pPr>
      <w:r>
        <w:t>Werkgroep Fraude</w:t>
      </w:r>
    </w:p>
    <w:p w14:paraId="147213A1" w14:textId="57BB3F6C" w:rsidR="009E1855" w:rsidRDefault="009E1855" w:rsidP="00D578E6">
      <w:pPr>
        <w:pStyle w:val="Geenafstand"/>
        <w:numPr>
          <w:ilvl w:val="0"/>
          <w:numId w:val="13"/>
        </w:numPr>
        <w:ind w:left="284" w:hanging="284"/>
      </w:pPr>
      <w:r>
        <w:t xml:space="preserve">Werkgroep </w:t>
      </w:r>
      <w:r w:rsidR="00880A36">
        <w:t>Continuïteit</w:t>
      </w:r>
    </w:p>
    <w:p w14:paraId="7767B4BE" w14:textId="2937CDCA" w:rsidR="009E1855" w:rsidRDefault="009E1855" w:rsidP="00D578E6">
      <w:pPr>
        <w:pStyle w:val="Geenafstand"/>
        <w:numPr>
          <w:ilvl w:val="0"/>
          <w:numId w:val="13"/>
        </w:numPr>
        <w:ind w:left="284" w:hanging="284"/>
      </w:pPr>
      <w:r>
        <w:t xml:space="preserve">SGPB / platform RV / </w:t>
      </w:r>
      <w:proofErr w:type="spellStart"/>
      <w:r>
        <w:t>Cie</w:t>
      </w:r>
      <w:proofErr w:type="spellEnd"/>
      <w:r>
        <w:t xml:space="preserve"> MKB</w:t>
      </w:r>
      <w:r w:rsidR="00533049">
        <w:t xml:space="preserve"> / Fraude koplopers</w:t>
      </w:r>
    </w:p>
    <w:p w14:paraId="22BDE99E" w14:textId="77777777" w:rsidR="009E1855" w:rsidRDefault="009E1855" w:rsidP="00D578E6">
      <w:pPr>
        <w:pStyle w:val="Geenafstand"/>
        <w:ind w:left="284"/>
      </w:pPr>
    </w:p>
    <w:p w14:paraId="7D4DCCC7" w14:textId="1447AC45" w:rsidR="004102A1" w:rsidRPr="00A94D8D" w:rsidRDefault="009A30EC" w:rsidP="00D578E6">
      <w:pPr>
        <w:pStyle w:val="Geenafstand"/>
        <w:numPr>
          <w:ilvl w:val="0"/>
          <w:numId w:val="24"/>
        </w:numPr>
        <w:rPr>
          <w:b/>
          <w:bCs/>
        </w:rPr>
      </w:pPr>
      <w:r>
        <w:rPr>
          <w:b/>
          <w:bCs/>
        </w:rPr>
        <w:t xml:space="preserve">Inbedding / </w:t>
      </w:r>
      <w:r w:rsidR="004102A1" w:rsidRPr="00A94D8D">
        <w:rPr>
          <w:b/>
          <w:bCs/>
        </w:rPr>
        <w:t xml:space="preserve">impact voor accountants? </w:t>
      </w:r>
    </w:p>
    <w:p w14:paraId="62288FFE" w14:textId="457CE7F4" w:rsidR="00FE5EC4" w:rsidRDefault="00533049" w:rsidP="00D578E6">
      <w:pPr>
        <w:pStyle w:val="Geenafstand"/>
      </w:pPr>
      <w:r>
        <w:t xml:space="preserve">De grootste impact voor </w:t>
      </w:r>
      <w:r w:rsidR="009A30EC">
        <w:t xml:space="preserve">de controlerende </w:t>
      </w:r>
      <w:r>
        <w:t xml:space="preserve">accountant was er </w:t>
      </w:r>
      <w:r w:rsidR="00FE5EC4">
        <w:t xml:space="preserve">al </w:t>
      </w:r>
      <w:r>
        <w:t>in 2022 toen accountants voor wettelijke controles de rapportering over fraude en continuïteit ter hand hebben genomen. In 2021 en 2022 kreeg de NBA veel oproepen tot ondersteuning met o</w:t>
      </w:r>
      <w:r w:rsidR="00BC30FC">
        <w:t>.</w:t>
      </w:r>
      <w:r>
        <w:t>a</w:t>
      </w:r>
      <w:r w:rsidR="00BC30FC">
        <w:t>.</w:t>
      </w:r>
      <w:r>
        <w:t xml:space="preserve"> voorbeeldteksten. </w:t>
      </w:r>
      <w:r w:rsidR="005F48DA">
        <w:t xml:space="preserve">De NBA heeft destijds veel </w:t>
      </w:r>
      <w:r w:rsidR="00D20215">
        <w:t xml:space="preserve">ondersteuning </w:t>
      </w:r>
      <w:r w:rsidR="00D16B13">
        <w:t>aan</w:t>
      </w:r>
      <w:r w:rsidR="00D20215">
        <w:t>ge</w:t>
      </w:r>
      <w:r w:rsidR="00D16B13">
        <w:t>boden</w:t>
      </w:r>
      <w:r w:rsidR="00D20215">
        <w:t xml:space="preserve"> in de vorm van interactieve </w:t>
      </w:r>
      <w:proofErr w:type="spellStart"/>
      <w:r w:rsidR="00D20215">
        <w:t>webinars</w:t>
      </w:r>
      <w:proofErr w:type="spellEnd"/>
      <w:r w:rsidR="00D20215">
        <w:t>, voorlichting en via de handreikingen 1150 resp. 1151</w:t>
      </w:r>
      <w:r w:rsidR="0009048D">
        <w:t xml:space="preserve"> inclusief voorbeeldteksten op de website.</w:t>
      </w:r>
    </w:p>
    <w:p w14:paraId="1595F018" w14:textId="77777777" w:rsidR="00FE5EC4" w:rsidRDefault="00FE5EC4" w:rsidP="00D578E6">
      <w:pPr>
        <w:pStyle w:val="Geenafstand"/>
      </w:pPr>
    </w:p>
    <w:p w14:paraId="324A0A47" w14:textId="7BC451C9" w:rsidR="00D4732B" w:rsidRDefault="007D01DC" w:rsidP="00D578E6">
      <w:pPr>
        <w:pStyle w:val="Geenafstand"/>
      </w:pPr>
      <w:r>
        <w:t>U</w:t>
      </w:r>
      <w:r w:rsidR="0E2FF21A">
        <w:t xml:space="preserve">it de onderzoeken die de NBA heeft verricht </w:t>
      </w:r>
      <w:r w:rsidR="28015F1B">
        <w:t>(</w:t>
      </w:r>
      <w:r w:rsidR="00247DD1">
        <w:t xml:space="preserve">naar </w:t>
      </w:r>
      <w:r w:rsidR="28015F1B">
        <w:t xml:space="preserve">controleverklaringen 2021 en 2022) </w:t>
      </w:r>
      <w:r w:rsidR="00247DD1">
        <w:t xml:space="preserve">en het overleg met accountants en stakeholders in dat kader </w:t>
      </w:r>
      <w:r>
        <w:t xml:space="preserve">is gebleken dat </w:t>
      </w:r>
      <w:r w:rsidR="0E2FF21A">
        <w:t>de rapportering</w:t>
      </w:r>
      <w:r w:rsidR="00247DD1">
        <w:t xml:space="preserve">sverplichting </w:t>
      </w:r>
      <w:r w:rsidR="007B323E">
        <w:t xml:space="preserve">heeft geleid </w:t>
      </w:r>
      <w:r w:rsidR="0E2FF21A" w:rsidDel="007347A9">
        <w:t>tot</w:t>
      </w:r>
      <w:r w:rsidR="0E2FF21A">
        <w:t xml:space="preserve"> meer toelichtingen in de jaarrekening en jaarverslag en het goede gesprek tussen de accountant en de klanten over de beide onderwerpen. </w:t>
      </w:r>
      <w:r w:rsidR="00247DD1">
        <w:t xml:space="preserve">Ook is de </w:t>
      </w:r>
      <w:r w:rsidR="00BF050F">
        <w:t xml:space="preserve">rapportering in de controleverklaringen over fraude voor de AFM aanleiding geweest tot onderzoek naar de frauderisicoanalyse (2023) en </w:t>
      </w:r>
      <w:r w:rsidR="002B46CF">
        <w:t xml:space="preserve">naar de uitvoering van de controle in navolging op de frauderisicoanalyse (2024). Voor het onderzoek 2024 </w:t>
      </w:r>
      <w:r w:rsidR="00D4732B">
        <w:t xml:space="preserve">selecteert de AFM op basis van hetgeen in de controleverklaringen is gerapporteerd. Het </w:t>
      </w:r>
      <w:r w:rsidR="00537A30">
        <w:t xml:space="preserve">verplicht </w:t>
      </w:r>
      <w:r w:rsidR="00D4732B">
        <w:t xml:space="preserve">rapporteren leidt dus ook tot verscherpte aandacht van de AFM voor het rapportage proces en de uitkomsten van de controle. </w:t>
      </w:r>
    </w:p>
    <w:p w14:paraId="0F57F55E" w14:textId="77777777" w:rsidR="00A840DE" w:rsidRDefault="00A840DE" w:rsidP="00D578E6">
      <w:pPr>
        <w:pStyle w:val="Geenafstand"/>
      </w:pPr>
    </w:p>
    <w:p w14:paraId="202343C0" w14:textId="5A203A46" w:rsidR="00707636" w:rsidRPr="00B70E3C" w:rsidRDefault="00F15ACB" w:rsidP="00D578E6">
      <w:pPr>
        <w:pStyle w:val="Geenafstand"/>
        <w:numPr>
          <w:ilvl w:val="0"/>
          <w:numId w:val="24"/>
        </w:numPr>
        <w:rPr>
          <w:b/>
          <w:bCs/>
        </w:rPr>
      </w:pPr>
      <w:r w:rsidRPr="00B70E3C">
        <w:rPr>
          <w:b/>
          <w:bCs/>
        </w:rPr>
        <w:t>MKB-toets</w:t>
      </w:r>
    </w:p>
    <w:p w14:paraId="0EC5D06D" w14:textId="714ACC6C" w:rsidR="00707636" w:rsidRPr="005710ED" w:rsidRDefault="00D6675A" w:rsidP="0095506E">
      <w:pPr>
        <w:pStyle w:val="Geenafstand"/>
        <w:rPr>
          <w:rStyle w:val="Intensievebenadrukking"/>
          <w:i w:val="0"/>
          <w:iCs w:val="0"/>
        </w:rPr>
      </w:pPr>
      <w:r w:rsidRPr="0095506E">
        <w:rPr>
          <w:i/>
          <w:iCs/>
        </w:rPr>
        <w:t xml:space="preserve">De MKB-toets is gericht op </w:t>
      </w:r>
      <w:r w:rsidR="00D4732B" w:rsidRPr="0095506E">
        <w:rPr>
          <w:i/>
          <w:iCs/>
        </w:rPr>
        <w:t xml:space="preserve">kleine reguliere vergunninghouders met slechts enkele </w:t>
      </w:r>
      <w:proofErr w:type="spellStart"/>
      <w:r w:rsidR="004150A9" w:rsidRPr="0095506E">
        <w:rPr>
          <w:i/>
          <w:iCs/>
        </w:rPr>
        <w:t>wta</w:t>
      </w:r>
      <w:proofErr w:type="spellEnd"/>
      <w:r w:rsidR="004150A9" w:rsidRPr="0095506E">
        <w:rPr>
          <w:i/>
          <w:iCs/>
        </w:rPr>
        <w:t>-</w:t>
      </w:r>
      <w:r w:rsidR="00C32C00">
        <w:rPr>
          <w:i/>
          <w:iCs/>
        </w:rPr>
        <w:t xml:space="preserve">/ vrijwillige </w:t>
      </w:r>
      <w:r w:rsidR="00D4732B" w:rsidRPr="0095506E">
        <w:rPr>
          <w:i/>
          <w:iCs/>
        </w:rPr>
        <w:t>controles</w:t>
      </w:r>
      <w:r w:rsidR="004150A9" w:rsidRPr="0095506E">
        <w:rPr>
          <w:i/>
          <w:iCs/>
        </w:rPr>
        <w:t xml:space="preserve"> en op kleine accountantskantoren die alleen vrijwillige controles uitvoeren</w:t>
      </w:r>
      <w:r w:rsidRPr="0095506E">
        <w:rPr>
          <w:i/>
          <w:iCs/>
        </w:rPr>
        <w:t xml:space="preserve">: </w:t>
      </w:r>
    </w:p>
    <w:p w14:paraId="55C48671" w14:textId="5D91515B" w:rsidR="00D30445" w:rsidRDefault="00D30445" w:rsidP="00D578E6">
      <w:pPr>
        <w:pStyle w:val="Lijstalinea"/>
        <w:numPr>
          <w:ilvl w:val="0"/>
          <w:numId w:val="8"/>
        </w:numPr>
        <w:rPr>
          <w:rFonts w:eastAsia="Times New Roman"/>
        </w:rPr>
      </w:pPr>
      <w:r>
        <w:rPr>
          <w:rFonts w:eastAsia="Times New Roman"/>
        </w:rPr>
        <w:t xml:space="preserve">Ja, deze </w:t>
      </w:r>
      <w:r w:rsidR="00F15ACB">
        <w:rPr>
          <w:rFonts w:eastAsia="Times New Roman"/>
        </w:rPr>
        <w:t xml:space="preserve">regelgeving </w:t>
      </w:r>
      <w:r>
        <w:rPr>
          <w:rFonts w:eastAsia="Times New Roman"/>
        </w:rPr>
        <w:t xml:space="preserve"> is ook </w:t>
      </w:r>
      <w:r w:rsidR="00F15ACB">
        <w:rPr>
          <w:rFonts w:eastAsia="Times New Roman"/>
        </w:rPr>
        <w:t>van toepassing op mkb-accountants</w:t>
      </w:r>
      <w:r w:rsidR="00C7196A">
        <w:rPr>
          <w:rFonts w:eastAsia="Times New Roman"/>
        </w:rPr>
        <w:t>, voor</w:t>
      </w:r>
      <w:r w:rsidR="00E14856">
        <w:rPr>
          <w:rFonts w:eastAsia="Times New Roman"/>
        </w:rPr>
        <w:t xml:space="preserve"> </w:t>
      </w:r>
      <w:r w:rsidR="00C7196A">
        <w:rPr>
          <w:rFonts w:eastAsia="Times New Roman"/>
        </w:rPr>
        <w:t xml:space="preserve">zover zij accountantscontroles uitvoeren. Voor wettelijke controles is het verplicht te rapporteren en voor de niet wettelijke controles kan dit vrijwillig worden toegepast. </w:t>
      </w:r>
    </w:p>
    <w:p w14:paraId="3C3C92CA" w14:textId="76F8C44E" w:rsidR="00C7196A" w:rsidRDefault="00C7196A" w:rsidP="00D578E6">
      <w:pPr>
        <w:pStyle w:val="Lijstalinea"/>
        <w:numPr>
          <w:ilvl w:val="0"/>
          <w:numId w:val="8"/>
        </w:numPr>
        <w:rPr>
          <w:rFonts w:eastAsia="Times New Roman"/>
        </w:rPr>
      </w:pPr>
      <w:r w:rsidRPr="796952CD">
        <w:rPr>
          <w:rFonts w:eastAsia="Times New Roman"/>
        </w:rPr>
        <w:t xml:space="preserve">Voor de NBA is </w:t>
      </w:r>
      <w:r w:rsidR="00B70E3C" w:rsidRPr="796952CD">
        <w:rPr>
          <w:rFonts w:eastAsia="Times New Roman"/>
        </w:rPr>
        <w:t>het ook goed te onderzoeken</w:t>
      </w:r>
      <w:r w:rsidRPr="796952CD">
        <w:rPr>
          <w:rFonts w:eastAsia="Times New Roman"/>
        </w:rPr>
        <w:t xml:space="preserve"> </w:t>
      </w:r>
      <w:r w:rsidR="00B70E3C" w:rsidRPr="796952CD">
        <w:rPr>
          <w:rFonts w:eastAsia="Times New Roman"/>
        </w:rPr>
        <w:t xml:space="preserve">hoeveel in het niet wettelijke controledomein thans uitgebreid </w:t>
      </w:r>
      <w:r w:rsidR="00FE5EC4">
        <w:rPr>
          <w:rFonts w:eastAsia="Times New Roman"/>
        </w:rPr>
        <w:t xml:space="preserve">over continuïteit en fraude </w:t>
      </w:r>
      <w:r w:rsidR="00B70E3C" w:rsidRPr="796952CD">
        <w:rPr>
          <w:rFonts w:eastAsia="Times New Roman"/>
        </w:rPr>
        <w:t xml:space="preserve">wordt gerapporteerd. Dit is relevant om te kunnen besluiten of de scope van </w:t>
      </w:r>
      <w:r w:rsidR="00221522">
        <w:rPr>
          <w:rFonts w:eastAsia="Times New Roman"/>
        </w:rPr>
        <w:t>S</w:t>
      </w:r>
      <w:r w:rsidR="00B70E3C" w:rsidRPr="796952CD">
        <w:rPr>
          <w:rFonts w:eastAsia="Times New Roman"/>
        </w:rPr>
        <w:t xml:space="preserve">tandaard 700 moet worden uitgebreid naar het niet wettelijke controledomein. </w:t>
      </w:r>
    </w:p>
    <w:p w14:paraId="58FE73D4" w14:textId="6B3EF51C" w:rsidR="00F15ACB" w:rsidRPr="001D5E7F" w:rsidRDefault="00D30445" w:rsidP="00D578E6">
      <w:pPr>
        <w:pStyle w:val="Lijstalinea"/>
        <w:numPr>
          <w:ilvl w:val="0"/>
          <w:numId w:val="8"/>
        </w:numPr>
        <w:rPr>
          <w:rFonts w:eastAsia="Times New Roman"/>
        </w:rPr>
      </w:pPr>
      <w:r>
        <w:rPr>
          <w:rFonts w:eastAsia="Times New Roman"/>
        </w:rPr>
        <w:t>In het onderzoek betrekken we de i</w:t>
      </w:r>
      <w:r w:rsidR="00F15ACB" w:rsidRPr="001D5E7F">
        <w:rPr>
          <w:rFonts w:eastAsia="Times New Roman"/>
        </w:rPr>
        <w:t>mpact van de regelgeving voor de MKB-accountant m.b.t</w:t>
      </w:r>
      <w:r w:rsidR="00C04B79" w:rsidRPr="001D5E7F">
        <w:rPr>
          <w:rFonts w:eastAsia="Times New Roman"/>
        </w:rPr>
        <w:t>:</w:t>
      </w:r>
    </w:p>
    <w:p w14:paraId="34AE68B4" w14:textId="03CD9833" w:rsidR="00F15ACB" w:rsidRDefault="00707636" w:rsidP="00D578E6">
      <w:pPr>
        <w:pStyle w:val="Lijstalinea"/>
        <w:numPr>
          <w:ilvl w:val="1"/>
          <w:numId w:val="8"/>
        </w:numPr>
        <w:rPr>
          <w:rFonts w:eastAsia="Times New Roman"/>
        </w:rPr>
      </w:pPr>
      <w:r>
        <w:rPr>
          <w:rFonts w:eastAsia="Times New Roman"/>
        </w:rPr>
        <w:t>Werkbaarheid en u</w:t>
      </w:r>
      <w:r w:rsidR="00F15ACB">
        <w:rPr>
          <w:rFonts w:eastAsia="Times New Roman"/>
        </w:rPr>
        <w:t>itvoerbaarheid</w:t>
      </w:r>
      <w:r w:rsidR="00EB561B">
        <w:rPr>
          <w:rFonts w:eastAsia="Times New Roman"/>
        </w:rPr>
        <w:t xml:space="preserve"> </w:t>
      </w:r>
      <w:r w:rsidR="00EB561B" w:rsidRPr="00EB561B">
        <w:rPr>
          <w:rFonts w:eastAsia="Times New Roman"/>
        </w:rPr>
        <w:t>voor organisaties van een kleinere schaal</w:t>
      </w:r>
      <w:r w:rsidR="003E318C">
        <w:rPr>
          <w:rFonts w:eastAsia="Times New Roman"/>
        </w:rPr>
        <w:t xml:space="preserve"> </w:t>
      </w:r>
    </w:p>
    <w:p w14:paraId="21F38F51" w14:textId="376A149E" w:rsidR="00F15ACB" w:rsidRDefault="00F15ACB" w:rsidP="00D578E6">
      <w:pPr>
        <w:pStyle w:val="Lijstalinea"/>
        <w:numPr>
          <w:ilvl w:val="1"/>
          <w:numId w:val="8"/>
        </w:numPr>
        <w:rPr>
          <w:rFonts w:eastAsia="Times New Roman"/>
        </w:rPr>
      </w:pPr>
      <w:r>
        <w:rPr>
          <w:rFonts w:eastAsia="Times New Roman"/>
        </w:rPr>
        <w:t>Benodigde inspanning bij implementatie (denk aan tijd en geld)</w:t>
      </w:r>
      <w:r w:rsidR="003E318C">
        <w:rPr>
          <w:rFonts w:eastAsia="Times New Roman"/>
        </w:rPr>
        <w:t xml:space="preserve"> </w:t>
      </w:r>
    </w:p>
    <w:p w14:paraId="2D155E4F" w14:textId="164BEC85" w:rsidR="003E318C" w:rsidRDefault="009338D1" w:rsidP="00D578E6">
      <w:pPr>
        <w:pStyle w:val="Lijstalinea"/>
        <w:numPr>
          <w:ilvl w:val="1"/>
          <w:numId w:val="8"/>
        </w:numPr>
        <w:rPr>
          <w:rFonts w:eastAsia="Times New Roman"/>
        </w:rPr>
      </w:pPr>
      <w:r>
        <w:rPr>
          <w:rFonts w:eastAsia="Times New Roman"/>
        </w:rPr>
        <w:t>Is</w:t>
      </w:r>
      <w:r w:rsidR="003E318C" w:rsidRPr="00351BF0">
        <w:rPr>
          <w:rFonts w:eastAsia="Times New Roman"/>
        </w:rPr>
        <w:t xml:space="preserve"> deze </w:t>
      </w:r>
      <w:r w:rsidR="00170E12">
        <w:rPr>
          <w:rFonts w:eastAsia="Times New Roman"/>
        </w:rPr>
        <w:t>r</w:t>
      </w:r>
      <w:r w:rsidR="00170E12" w:rsidRPr="00351BF0">
        <w:rPr>
          <w:rFonts w:eastAsia="Times New Roman"/>
        </w:rPr>
        <w:t>egeldruk</w:t>
      </w:r>
      <w:r w:rsidR="00170E12">
        <w:rPr>
          <w:rFonts w:eastAsia="Times New Roman"/>
        </w:rPr>
        <w:t xml:space="preserve"> </w:t>
      </w:r>
      <w:r w:rsidR="003E318C" w:rsidRPr="00351BF0">
        <w:rPr>
          <w:rFonts w:eastAsia="Times New Roman"/>
        </w:rPr>
        <w:t>verhogend, neutraal of regeldruk verminderend?</w:t>
      </w:r>
      <w:r w:rsidR="00351BF0" w:rsidRPr="00351BF0">
        <w:rPr>
          <w:rFonts w:eastAsia="Times New Roman"/>
        </w:rPr>
        <w:t xml:space="preserve"> Zijn er bepaalde </w:t>
      </w:r>
      <w:r w:rsidR="003E318C" w:rsidRPr="00351BF0">
        <w:rPr>
          <w:rFonts w:eastAsia="Times New Roman"/>
        </w:rPr>
        <w:t xml:space="preserve">regels </w:t>
      </w:r>
      <w:r w:rsidR="00351BF0" w:rsidRPr="00351BF0">
        <w:rPr>
          <w:rFonts w:eastAsia="Times New Roman"/>
        </w:rPr>
        <w:t xml:space="preserve">die </w:t>
      </w:r>
      <w:r w:rsidR="003E318C" w:rsidRPr="00351BF0">
        <w:rPr>
          <w:rFonts w:eastAsia="Times New Roman"/>
        </w:rPr>
        <w:t>vervallen?</w:t>
      </w:r>
    </w:p>
    <w:p w14:paraId="69163CE2" w14:textId="6D89B34C" w:rsidR="00D00E23" w:rsidRDefault="00D00E23" w:rsidP="00D578E6">
      <w:pPr>
        <w:pStyle w:val="Lijstalinea"/>
        <w:numPr>
          <w:ilvl w:val="0"/>
          <w:numId w:val="8"/>
        </w:numPr>
        <w:rPr>
          <w:rFonts w:eastAsia="Times New Roman"/>
        </w:rPr>
      </w:pPr>
      <w:r>
        <w:rPr>
          <w:rFonts w:eastAsia="Times New Roman"/>
        </w:rPr>
        <w:lastRenderedPageBreak/>
        <w:t>Hoe kun je in het project rekening houden met MKB-aspecten</w:t>
      </w:r>
      <w:r w:rsidR="007B28E0">
        <w:rPr>
          <w:rFonts w:eastAsia="Times New Roman"/>
        </w:rPr>
        <w:t>:</w:t>
      </w:r>
    </w:p>
    <w:p w14:paraId="4CAF6927" w14:textId="364237A4" w:rsidR="00EB561B" w:rsidRDefault="00EB561B" w:rsidP="00D578E6">
      <w:pPr>
        <w:pStyle w:val="Lijstalinea"/>
        <w:numPr>
          <w:ilvl w:val="1"/>
          <w:numId w:val="8"/>
        </w:numPr>
        <w:rPr>
          <w:rFonts w:eastAsia="Times New Roman"/>
        </w:rPr>
      </w:pPr>
      <w:r>
        <w:rPr>
          <w:rFonts w:eastAsia="Times New Roman"/>
        </w:rPr>
        <w:t>Is de benodigde MKB-kennis aanwezig in het project team?</w:t>
      </w:r>
    </w:p>
    <w:p w14:paraId="3A3E94E3" w14:textId="3E979EB6" w:rsidR="00D00E23" w:rsidRDefault="00D00E23" w:rsidP="00D578E6">
      <w:pPr>
        <w:pStyle w:val="Lijstalinea"/>
        <w:numPr>
          <w:ilvl w:val="1"/>
          <w:numId w:val="8"/>
        </w:numPr>
        <w:rPr>
          <w:rFonts w:eastAsia="Times New Roman"/>
        </w:rPr>
      </w:pPr>
      <w:r>
        <w:rPr>
          <w:rFonts w:eastAsia="Times New Roman"/>
        </w:rPr>
        <w:t>Is schaalbaarheid mogelijk</w:t>
      </w:r>
      <w:r w:rsidR="00304BFB">
        <w:rPr>
          <w:rFonts w:eastAsia="Times New Roman"/>
        </w:rPr>
        <w:t>/wenselijk</w:t>
      </w:r>
      <w:r>
        <w:rPr>
          <w:rFonts w:eastAsia="Times New Roman"/>
        </w:rPr>
        <w:t xml:space="preserve"> in de regelgeving?</w:t>
      </w:r>
      <w:r w:rsidR="006D085F">
        <w:rPr>
          <w:rFonts w:eastAsia="Times New Roman"/>
        </w:rPr>
        <w:t xml:space="preserve"> </w:t>
      </w:r>
      <w:r w:rsidR="002A5788">
        <w:rPr>
          <w:rFonts w:eastAsia="Times New Roman"/>
        </w:rPr>
        <w:t>Z</w:t>
      </w:r>
      <w:r w:rsidR="005C3C4F">
        <w:rPr>
          <w:rFonts w:eastAsia="Times New Roman"/>
        </w:rPr>
        <w:t>ijn er alternatieven?</w:t>
      </w:r>
    </w:p>
    <w:p w14:paraId="483D9F1F" w14:textId="71EFCB5D" w:rsidR="00EB561B" w:rsidRDefault="00D00E23" w:rsidP="00D578E6">
      <w:pPr>
        <w:pStyle w:val="Lijstalinea"/>
        <w:numPr>
          <w:ilvl w:val="1"/>
          <w:numId w:val="8"/>
        </w:numPr>
        <w:rPr>
          <w:rFonts w:eastAsia="Times New Roman"/>
        </w:rPr>
      </w:pPr>
      <w:r w:rsidRPr="00C23FEE">
        <w:rPr>
          <w:rFonts w:eastAsia="Times New Roman"/>
        </w:rPr>
        <w:t xml:space="preserve">Is </w:t>
      </w:r>
      <w:r w:rsidR="00256946">
        <w:rPr>
          <w:rFonts w:eastAsia="Times New Roman"/>
        </w:rPr>
        <w:t xml:space="preserve">bij </w:t>
      </w:r>
      <w:r w:rsidR="00256946" w:rsidRPr="00C23FEE">
        <w:rPr>
          <w:rFonts w:eastAsia="Times New Roman"/>
        </w:rPr>
        <w:t>de uitleg van de regelgeving</w:t>
      </w:r>
      <w:r w:rsidR="00256946">
        <w:rPr>
          <w:rFonts w:eastAsia="Times New Roman"/>
        </w:rPr>
        <w:t xml:space="preserve"> </w:t>
      </w:r>
      <w:r w:rsidR="00CA3200">
        <w:rPr>
          <w:rFonts w:eastAsia="Times New Roman"/>
        </w:rPr>
        <w:t xml:space="preserve">specifieke </w:t>
      </w:r>
      <w:r w:rsidR="00EB561B" w:rsidRPr="00C23FEE">
        <w:rPr>
          <w:rFonts w:eastAsia="Times New Roman"/>
        </w:rPr>
        <w:t xml:space="preserve">aandacht </w:t>
      </w:r>
      <w:r w:rsidR="00031375">
        <w:rPr>
          <w:rFonts w:eastAsia="Times New Roman"/>
        </w:rPr>
        <w:t>nodig</w:t>
      </w:r>
      <w:r w:rsidR="00EB561B" w:rsidRPr="00C23FEE">
        <w:rPr>
          <w:rFonts w:eastAsia="Times New Roman"/>
        </w:rPr>
        <w:t>/wenselijk</w:t>
      </w:r>
      <w:r w:rsidR="00EB561B">
        <w:rPr>
          <w:rFonts w:eastAsia="Times New Roman"/>
        </w:rPr>
        <w:t xml:space="preserve">, zoals een </w:t>
      </w:r>
      <w:r w:rsidR="00031375">
        <w:rPr>
          <w:rFonts w:eastAsia="Times New Roman"/>
        </w:rPr>
        <w:t>afzonderlijk</w:t>
      </w:r>
      <w:r w:rsidR="00EB561B">
        <w:rPr>
          <w:rFonts w:eastAsia="Times New Roman"/>
        </w:rPr>
        <w:t xml:space="preserve"> hoofdstuk</w:t>
      </w:r>
      <w:r w:rsidR="00C23FEE" w:rsidRPr="00C23FEE">
        <w:rPr>
          <w:rFonts w:eastAsia="Times New Roman"/>
        </w:rPr>
        <w:t>?</w:t>
      </w:r>
      <w:r w:rsidR="007B28E0" w:rsidRPr="00C23FEE">
        <w:rPr>
          <w:rFonts w:eastAsia="Times New Roman"/>
        </w:rPr>
        <w:t xml:space="preserve"> </w:t>
      </w:r>
      <w:r w:rsidR="00C23FEE" w:rsidRPr="00C23FEE">
        <w:rPr>
          <w:rFonts w:eastAsia="Times New Roman"/>
        </w:rPr>
        <w:t xml:space="preserve"> </w:t>
      </w:r>
    </w:p>
    <w:p w14:paraId="3AA283A4" w14:textId="4C634A5C" w:rsidR="006D085F" w:rsidRDefault="00C23FEE" w:rsidP="00D578E6">
      <w:pPr>
        <w:pStyle w:val="Lijstalinea"/>
        <w:numPr>
          <w:ilvl w:val="1"/>
          <w:numId w:val="8"/>
        </w:numPr>
        <w:rPr>
          <w:rFonts w:eastAsia="Times New Roman"/>
        </w:rPr>
      </w:pPr>
      <w:r w:rsidRPr="00C23FEE">
        <w:rPr>
          <w:rFonts w:eastAsia="Times New Roman"/>
        </w:rPr>
        <w:t>I</w:t>
      </w:r>
      <w:r w:rsidR="006D085F" w:rsidRPr="00C23FEE">
        <w:rPr>
          <w:rFonts w:eastAsia="Times New Roman"/>
        </w:rPr>
        <w:t xml:space="preserve">s </w:t>
      </w:r>
      <w:r w:rsidR="00EB561B">
        <w:rPr>
          <w:rFonts w:eastAsia="Times New Roman"/>
        </w:rPr>
        <w:t xml:space="preserve">bij de implementatie </w:t>
      </w:r>
      <w:r w:rsidR="00F7668E" w:rsidRPr="00C23FEE">
        <w:rPr>
          <w:rFonts w:eastAsia="Times New Roman"/>
        </w:rPr>
        <w:t>aanvullende</w:t>
      </w:r>
      <w:r w:rsidR="006D085F" w:rsidRPr="00C23FEE">
        <w:rPr>
          <w:rFonts w:eastAsia="Times New Roman"/>
        </w:rPr>
        <w:t xml:space="preserve"> communicatie</w:t>
      </w:r>
      <w:r w:rsidR="00CA3200">
        <w:rPr>
          <w:rFonts w:eastAsia="Times New Roman"/>
        </w:rPr>
        <w:t xml:space="preserve"> </w:t>
      </w:r>
      <w:r w:rsidR="00256946">
        <w:rPr>
          <w:rFonts w:eastAsia="Times New Roman"/>
        </w:rPr>
        <w:t>nodig</w:t>
      </w:r>
      <w:r w:rsidR="00CA3200" w:rsidRPr="00C23FEE">
        <w:rPr>
          <w:rFonts w:eastAsia="Times New Roman"/>
        </w:rPr>
        <w:t>/wenselijk</w:t>
      </w:r>
      <w:r w:rsidR="00CA3200">
        <w:rPr>
          <w:rFonts w:eastAsia="Times New Roman"/>
        </w:rPr>
        <w:t xml:space="preserve">, zoals een </w:t>
      </w:r>
      <w:proofErr w:type="spellStart"/>
      <w:r w:rsidR="00CA3200">
        <w:rPr>
          <w:rFonts w:eastAsia="Times New Roman"/>
        </w:rPr>
        <w:t>webinar</w:t>
      </w:r>
      <w:proofErr w:type="spellEnd"/>
      <w:r w:rsidR="006D085F" w:rsidRPr="00C23FEE">
        <w:rPr>
          <w:rFonts w:eastAsia="Times New Roman"/>
        </w:rPr>
        <w:t>?</w:t>
      </w:r>
    </w:p>
    <w:p w14:paraId="01CFB749" w14:textId="77777777" w:rsidR="00B70E3C" w:rsidRDefault="00B70E3C" w:rsidP="00D578E6">
      <w:pPr>
        <w:pStyle w:val="Geenafstand"/>
        <w:rPr>
          <w:rStyle w:val="Intensievebenadrukking"/>
        </w:rPr>
      </w:pPr>
    </w:p>
    <w:p w14:paraId="3989B02F" w14:textId="53F1CC49" w:rsidR="00042D33" w:rsidRPr="00B70E3C" w:rsidRDefault="00042D33" w:rsidP="00D578E6">
      <w:pPr>
        <w:pStyle w:val="Geenafstand"/>
        <w:numPr>
          <w:ilvl w:val="0"/>
          <w:numId w:val="24"/>
        </w:numPr>
        <w:rPr>
          <w:rStyle w:val="Intensievebenadrukking"/>
          <w:i w:val="0"/>
          <w:iCs w:val="0"/>
          <w:color w:val="auto"/>
        </w:rPr>
      </w:pPr>
      <w:r w:rsidRPr="00B70E3C">
        <w:rPr>
          <w:rStyle w:val="Intensievebenadrukking"/>
          <w:i w:val="0"/>
          <w:iCs w:val="0"/>
          <w:color w:val="auto"/>
        </w:rPr>
        <w:t>Risico’s</w:t>
      </w:r>
    </w:p>
    <w:p w14:paraId="227DE652" w14:textId="77777777" w:rsidR="0081676F" w:rsidRDefault="0081676F" w:rsidP="008A5016">
      <w:pPr>
        <w:pStyle w:val="Geenafstand"/>
        <w:rPr>
          <w:rStyle w:val="Intensievebenadrukking"/>
          <w:b w:val="0"/>
          <w:bCs w:val="0"/>
          <w:i w:val="0"/>
          <w:iCs w:val="0"/>
          <w:color w:val="auto"/>
        </w:rPr>
      </w:pPr>
      <w:r>
        <w:rPr>
          <w:rStyle w:val="Intensievebenadrukking"/>
          <w:b w:val="0"/>
          <w:bCs w:val="0"/>
          <w:i w:val="0"/>
          <w:iCs w:val="0"/>
          <w:color w:val="auto"/>
        </w:rPr>
        <w:t xml:space="preserve">Organisatorische knelpunten: </w:t>
      </w:r>
    </w:p>
    <w:p w14:paraId="485D2EF9" w14:textId="7BAC205C" w:rsidR="007050DF" w:rsidRPr="00C56646" w:rsidRDefault="734D7676" w:rsidP="008A5016">
      <w:pPr>
        <w:pStyle w:val="Geenafstand"/>
        <w:numPr>
          <w:ilvl w:val="0"/>
          <w:numId w:val="13"/>
        </w:numPr>
        <w:rPr>
          <w:rStyle w:val="Intensievebenadrukking"/>
          <w:b w:val="0"/>
          <w:bCs w:val="0"/>
          <w:i w:val="0"/>
          <w:iCs w:val="0"/>
          <w:color w:val="auto"/>
        </w:rPr>
      </w:pPr>
      <w:r w:rsidRPr="5AA9195D">
        <w:rPr>
          <w:rStyle w:val="Intensievebenadrukking"/>
          <w:b w:val="0"/>
          <w:bCs w:val="0"/>
          <w:i w:val="0"/>
          <w:iCs w:val="0"/>
          <w:color w:val="auto"/>
        </w:rPr>
        <w:t>Uitvoering van een actuele analyse van de controleverklaringen 2023</w:t>
      </w:r>
      <w:r w:rsidR="001B6445">
        <w:rPr>
          <w:rStyle w:val="Intensievebenadrukking"/>
          <w:b w:val="0"/>
          <w:bCs w:val="0"/>
          <w:i w:val="0"/>
          <w:iCs w:val="0"/>
          <w:color w:val="auto"/>
        </w:rPr>
        <w:t>:</w:t>
      </w:r>
      <w:r w:rsidR="00CF1F9E">
        <w:rPr>
          <w:rStyle w:val="Intensievebenadrukking"/>
          <w:b w:val="0"/>
          <w:bCs w:val="0"/>
          <w:i w:val="0"/>
          <w:iCs w:val="0"/>
          <w:color w:val="auto"/>
        </w:rPr>
        <w:t xml:space="preserve"> </w:t>
      </w:r>
      <w:r w:rsidR="00CF1A9E">
        <w:rPr>
          <w:rStyle w:val="Intensievebenadrukking"/>
          <w:b w:val="0"/>
          <w:bCs w:val="0"/>
          <w:i w:val="0"/>
          <w:iCs w:val="0"/>
          <w:color w:val="auto"/>
        </w:rPr>
        <w:t>benodigde capaciteit</w:t>
      </w:r>
      <w:r w:rsidRPr="5AA9195D">
        <w:rPr>
          <w:rStyle w:val="Intensievebenadrukking"/>
          <w:b w:val="0"/>
          <w:bCs w:val="0"/>
          <w:i w:val="0"/>
          <w:iCs w:val="0"/>
          <w:color w:val="auto"/>
        </w:rPr>
        <w:t>;</w:t>
      </w:r>
      <w:r w:rsidR="4E846A92" w:rsidRPr="5AA9195D">
        <w:rPr>
          <w:rStyle w:val="Intensievebenadrukking"/>
          <w:b w:val="0"/>
          <w:bCs w:val="0"/>
          <w:i w:val="0"/>
          <w:iCs w:val="0"/>
          <w:color w:val="auto"/>
        </w:rPr>
        <w:t>.</w:t>
      </w:r>
      <w:r w:rsidRPr="5AA9195D">
        <w:rPr>
          <w:rStyle w:val="Intensievebenadrukking"/>
          <w:b w:val="0"/>
          <w:bCs w:val="0"/>
          <w:i w:val="0"/>
          <w:iCs w:val="0"/>
          <w:color w:val="auto"/>
        </w:rPr>
        <w:t xml:space="preserve"> </w:t>
      </w:r>
      <w:r w:rsidR="4E846A92" w:rsidRPr="5AA9195D">
        <w:rPr>
          <w:rStyle w:val="Intensievebenadrukking"/>
          <w:b w:val="0"/>
          <w:bCs w:val="0"/>
          <w:i w:val="0"/>
          <w:iCs w:val="0"/>
          <w:color w:val="auto"/>
        </w:rPr>
        <w:t xml:space="preserve">Hierbij maken we </w:t>
      </w:r>
      <w:r w:rsidR="226DA16E" w:rsidRPr="5AA9195D">
        <w:rPr>
          <w:rStyle w:val="Intensievebenadrukking"/>
          <w:b w:val="0"/>
          <w:bCs w:val="0"/>
          <w:i w:val="0"/>
          <w:iCs w:val="0"/>
          <w:color w:val="auto"/>
        </w:rPr>
        <w:t>indien</w:t>
      </w:r>
      <w:r w:rsidR="7466F704" w:rsidRPr="5AA9195D">
        <w:rPr>
          <w:rStyle w:val="Intensievebenadrukking"/>
          <w:b w:val="0"/>
          <w:bCs w:val="0"/>
          <w:i w:val="0"/>
          <w:iCs w:val="0"/>
          <w:color w:val="auto"/>
        </w:rPr>
        <w:t xml:space="preserve"> beschikbaar en </w:t>
      </w:r>
      <w:r w:rsidR="0647F280" w:rsidRPr="5AA9195D">
        <w:rPr>
          <w:rStyle w:val="Intensievebenadrukking"/>
          <w:b w:val="0"/>
          <w:bCs w:val="0"/>
          <w:i w:val="0"/>
          <w:iCs w:val="0"/>
          <w:color w:val="auto"/>
        </w:rPr>
        <w:t>indien representatief</w:t>
      </w:r>
      <w:r w:rsidR="7CAA31F0" w:rsidRPr="5AA9195D">
        <w:rPr>
          <w:rStyle w:val="Intensievebenadrukking"/>
          <w:b w:val="0"/>
          <w:bCs w:val="0"/>
          <w:i w:val="0"/>
          <w:iCs w:val="0"/>
          <w:color w:val="auto"/>
        </w:rPr>
        <w:t>/objectief uitgevoerd</w:t>
      </w:r>
      <w:r w:rsidR="0647F280" w:rsidRPr="5AA9195D">
        <w:rPr>
          <w:rStyle w:val="Intensievebenadrukking"/>
          <w:b w:val="0"/>
          <w:bCs w:val="0"/>
          <w:i w:val="0"/>
          <w:iCs w:val="0"/>
          <w:color w:val="auto"/>
        </w:rPr>
        <w:t xml:space="preserve"> </w:t>
      </w:r>
      <w:r w:rsidR="4E846A92" w:rsidRPr="5AA9195D">
        <w:rPr>
          <w:rStyle w:val="Intensievebenadrukking"/>
          <w:b w:val="0"/>
          <w:bCs w:val="0"/>
          <w:i w:val="0"/>
          <w:iCs w:val="0"/>
          <w:color w:val="auto"/>
        </w:rPr>
        <w:t xml:space="preserve"> mogelijk ook gebruik van actuele analyses die accountantsorganisaties in het kader van eigen evaluaties over toepassing van de rapportageverplichting hebben uitgevoerd. </w:t>
      </w:r>
    </w:p>
    <w:p w14:paraId="4F850625" w14:textId="3497BFBE" w:rsidR="0081676F" w:rsidRDefault="00C56646" w:rsidP="008A5016">
      <w:pPr>
        <w:pStyle w:val="Geenafstand"/>
        <w:numPr>
          <w:ilvl w:val="0"/>
          <w:numId w:val="13"/>
        </w:numPr>
        <w:rPr>
          <w:rStyle w:val="Intensievebenadrukking"/>
          <w:b w:val="0"/>
          <w:bCs w:val="0"/>
          <w:i w:val="0"/>
          <w:iCs w:val="0"/>
          <w:color w:val="auto"/>
        </w:rPr>
      </w:pPr>
      <w:r w:rsidRPr="00092059">
        <w:rPr>
          <w:rStyle w:val="Intensievebenadrukking"/>
          <w:b w:val="0"/>
          <w:bCs w:val="0"/>
          <w:i w:val="0"/>
          <w:iCs w:val="0"/>
          <w:color w:val="auto"/>
        </w:rPr>
        <w:t>Representativiteit van het onderzoek en de te betrekken stakeholders</w:t>
      </w:r>
      <w:r w:rsidR="00092059" w:rsidRPr="00092059">
        <w:rPr>
          <w:rStyle w:val="Intensievebenadrukking"/>
          <w:b w:val="0"/>
          <w:bCs w:val="0"/>
          <w:i w:val="0"/>
          <w:iCs w:val="0"/>
          <w:color w:val="auto"/>
        </w:rPr>
        <w:t>: h</w:t>
      </w:r>
      <w:r w:rsidR="00E063A7" w:rsidRPr="00092059">
        <w:rPr>
          <w:rStyle w:val="Intensievebenadrukking"/>
          <w:b w:val="0"/>
          <w:bCs w:val="0"/>
          <w:i w:val="0"/>
          <w:iCs w:val="0"/>
          <w:color w:val="auto"/>
        </w:rPr>
        <w:t>oeveel moeten we uitzetten en ophalen</w:t>
      </w:r>
      <w:r w:rsidR="004C3E8A" w:rsidRPr="00092059">
        <w:rPr>
          <w:rStyle w:val="Intensievebenadrukking"/>
          <w:b w:val="0"/>
          <w:bCs w:val="0"/>
          <w:i w:val="0"/>
          <w:iCs w:val="0"/>
          <w:color w:val="auto"/>
        </w:rPr>
        <w:t xml:space="preserve"> om te komen tot representatieve uitkomsten van de evaluatie? </w:t>
      </w:r>
    </w:p>
    <w:p w14:paraId="2276BD97" w14:textId="77777777" w:rsidR="003047AC" w:rsidRPr="00092059" w:rsidRDefault="003047AC" w:rsidP="002C75D4">
      <w:pPr>
        <w:pStyle w:val="Geenafstand"/>
        <w:rPr>
          <w:rStyle w:val="Intensievebenadrukking"/>
          <w:b w:val="0"/>
          <w:bCs w:val="0"/>
          <w:i w:val="0"/>
          <w:iCs w:val="0"/>
          <w:color w:val="auto"/>
        </w:rPr>
      </w:pPr>
    </w:p>
    <w:p w14:paraId="0D43EB11" w14:textId="69B8F801" w:rsidR="00EB7E5D" w:rsidRPr="00B57103" w:rsidRDefault="00042D33" w:rsidP="00D578E6">
      <w:pPr>
        <w:pStyle w:val="Geenafstand"/>
        <w:numPr>
          <w:ilvl w:val="0"/>
          <w:numId w:val="24"/>
        </w:numPr>
        <w:rPr>
          <w:rStyle w:val="Intensievebenadrukking"/>
          <w:i w:val="0"/>
          <w:iCs w:val="0"/>
          <w:color w:val="auto"/>
        </w:rPr>
      </w:pPr>
      <w:r w:rsidRPr="00B57103">
        <w:rPr>
          <w:rStyle w:val="Intensievebenadrukking"/>
          <w:i w:val="0"/>
          <w:iCs w:val="0"/>
          <w:color w:val="auto"/>
        </w:rPr>
        <w:t>Project</w:t>
      </w:r>
      <w:r w:rsidR="006D4C84">
        <w:rPr>
          <w:rStyle w:val="Intensievebenadrukking"/>
          <w:i w:val="0"/>
          <w:iCs w:val="0"/>
          <w:color w:val="auto"/>
        </w:rPr>
        <w:t xml:space="preserve">structuur </w:t>
      </w:r>
    </w:p>
    <w:p w14:paraId="59AA13F6" w14:textId="5111E22D" w:rsidR="005B0AA7" w:rsidRDefault="0EE13AC4" w:rsidP="00D578E6">
      <w:pPr>
        <w:pStyle w:val="Geenafstand"/>
      </w:pPr>
      <w:r>
        <w:t xml:space="preserve">Het project bestaat uit verschillende fases. </w:t>
      </w:r>
    </w:p>
    <w:p w14:paraId="43CF57CE" w14:textId="20B3B146" w:rsidR="005B0AA7" w:rsidRDefault="0EE13AC4" w:rsidP="00D578E6">
      <w:pPr>
        <w:pStyle w:val="Geenafstand"/>
        <w:numPr>
          <w:ilvl w:val="0"/>
          <w:numId w:val="1"/>
        </w:numPr>
      </w:pPr>
      <w:r>
        <w:t>Bepalen doel (zie hierboven)</w:t>
      </w:r>
      <w:r w:rsidR="00607D0F">
        <w:t xml:space="preserve"> </w:t>
      </w:r>
      <w:r w:rsidR="00780F83">
        <w:t>en afstemmen met regelgevend proces</w:t>
      </w:r>
    </w:p>
    <w:p w14:paraId="75450873" w14:textId="39CF816C" w:rsidR="00092059" w:rsidRDefault="00092059" w:rsidP="00D578E6">
      <w:pPr>
        <w:pStyle w:val="Geenafstand"/>
        <w:numPr>
          <w:ilvl w:val="0"/>
          <w:numId w:val="1"/>
        </w:numPr>
      </w:pPr>
      <w:r>
        <w:t>Analyse 2023 controleverklaringen uitvoeren met focus op diversiteit aan entiteiten en sectoren</w:t>
      </w:r>
      <w:r w:rsidR="006D4C84">
        <w:t xml:space="preserve">, </w:t>
      </w:r>
      <w:proofErr w:type="spellStart"/>
      <w:r w:rsidR="006D4C84">
        <w:t>wta</w:t>
      </w:r>
      <w:proofErr w:type="spellEnd"/>
      <w:r w:rsidR="006D4C84">
        <w:t xml:space="preserve"> en niet-</w:t>
      </w:r>
      <w:proofErr w:type="spellStart"/>
      <w:r w:rsidR="006D4C84">
        <w:t>wta</w:t>
      </w:r>
      <w:proofErr w:type="spellEnd"/>
    </w:p>
    <w:p w14:paraId="385EEA5F" w14:textId="0448BB45" w:rsidR="005B0AA7" w:rsidRDefault="0EE13AC4" w:rsidP="00D578E6">
      <w:pPr>
        <w:pStyle w:val="Geenafstand"/>
        <w:numPr>
          <w:ilvl w:val="0"/>
          <w:numId w:val="1"/>
        </w:numPr>
      </w:pPr>
      <w:r>
        <w:t>Stakeholders bepalen die worden betrokken in de evaluatie (</w:t>
      </w:r>
      <w:r w:rsidR="00A17797">
        <w:t>uitwerking in vragenlijsten)</w:t>
      </w:r>
    </w:p>
    <w:p w14:paraId="480A1E95" w14:textId="5602F49C" w:rsidR="005B0AA7" w:rsidRDefault="0EE13AC4" w:rsidP="00D578E6">
      <w:pPr>
        <w:pStyle w:val="Geenafstand"/>
        <w:numPr>
          <w:ilvl w:val="0"/>
          <w:numId w:val="1"/>
        </w:numPr>
      </w:pPr>
      <w:r>
        <w:t xml:space="preserve">Vragenlijst over fraude en </w:t>
      </w:r>
      <w:r w:rsidR="638F41FF">
        <w:t>continuïteit</w:t>
      </w:r>
      <w:r>
        <w:t xml:space="preserve"> opstellen</w:t>
      </w:r>
      <w:r w:rsidR="00B04D3A">
        <w:t xml:space="preserve"> (</w:t>
      </w:r>
      <w:r w:rsidR="00A17797">
        <w:t>uitwerking in vragenlijsten</w:t>
      </w:r>
      <w:r w:rsidR="00B04D3A">
        <w:t xml:space="preserve">) </w:t>
      </w:r>
    </w:p>
    <w:p w14:paraId="2C5576A4" w14:textId="0E381047" w:rsidR="005B0AA7" w:rsidRDefault="0EE13AC4" w:rsidP="00D578E6">
      <w:pPr>
        <w:pStyle w:val="Geenafstand"/>
        <w:numPr>
          <w:ilvl w:val="0"/>
          <w:numId w:val="1"/>
        </w:numPr>
      </w:pPr>
      <w:r>
        <w:t xml:space="preserve">Stakeholders benaderen </w:t>
      </w:r>
      <w:r w:rsidR="006D4C84">
        <w:t>(vragenlijsten / fysieke bijeenkomsten)</w:t>
      </w:r>
    </w:p>
    <w:p w14:paraId="49848A2A" w14:textId="70D8A003" w:rsidR="00780F83" w:rsidRDefault="00780F83" w:rsidP="00D578E6">
      <w:pPr>
        <w:pStyle w:val="Geenafstand"/>
        <w:numPr>
          <w:ilvl w:val="0"/>
          <w:numId w:val="1"/>
        </w:numPr>
      </w:pPr>
      <w:r>
        <w:t>Evalueren internationale ontwikkelingen</w:t>
      </w:r>
      <w:r w:rsidR="006D4C84">
        <w:t xml:space="preserve"> en aanpassing </w:t>
      </w:r>
      <w:proofErr w:type="spellStart"/>
      <w:r w:rsidR="006D4C84">
        <w:t>ISA’s</w:t>
      </w:r>
      <w:proofErr w:type="spellEnd"/>
      <w:r w:rsidR="006D4C84">
        <w:t xml:space="preserve"> 570 en 240</w:t>
      </w:r>
      <w:r w:rsidR="00146A32">
        <w:t xml:space="preserve"> (</w:t>
      </w:r>
      <w:r w:rsidR="000C695A">
        <w:t>door regelgeving)</w:t>
      </w:r>
    </w:p>
    <w:p w14:paraId="4B44368E" w14:textId="538771BB" w:rsidR="00780F83" w:rsidRDefault="003A5A7C" w:rsidP="00D578E6">
      <w:pPr>
        <w:pStyle w:val="Geenafstand"/>
        <w:numPr>
          <w:ilvl w:val="0"/>
          <w:numId w:val="1"/>
        </w:numPr>
      </w:pPr>
      <w:r>
        <w:t>Rapporteringsfase (zie mijlpalen paragraaf 12)</w:t>
      </w:r>
    </w:p>
    <w:p w14:paraId="017051E0" w14:textId="34E53CE6" w:rsidR="00C36758" w:rsidRDefault="00C36758" w:rsidP="00D578E6">
      <w:pPr>
        <w:pStyle w:val="Geenafstand"/>
        <w:ind w:left="360"/>
      </w:pPr>
    </w:p>
    <w:p w14:paraId="4114423D" w14:textId="5BA3D6E1" w:rsidR="002861EB" w:rsidRPr="00B57103" w:rsidRDefault="002861EB" w:rsidP="00D578E6">
      <w:pPr>
        <w:pStyle w:val="Geenafstand"/>
        <w:numPr>
          <w:ilvl w:val="0"/>
          <w:numId w:val="24"/>
        </w:numPr>
        <w:rPr>
          <w:rStyle w:val="Intensievebenadrukking"/>
          <w:i w:val="0"/>
          <w:iCs w:val="0"/>
          <w:color w:val="auto"/>
        </w:rPr>
      </w:pPr>
      <w:r w:rsidRPr="00B57103">
        <w:rPr>
          <w:rStyle w:val="Intensievebenadrukking"/>
          <w:i w:val="0"/>
          <w:iCs w:val="0"/>
          <w:color w:val="auto"/>
        </w:rPr>
        <w:t>Projectbegroting</w:t>
      </w:r>
    </w:p>
    <w:p w14:paraId="558BAC07" w14:textId="67200EE0" w:rsidR="009D2E33" w:rsidRDefault="000A2D8E" w:rsidP="00D578E6">
      <w:pPr>
        <w:pStyle w:val="Geenafstand"/>
      </w:pPr>
      <w:r>
        <w:t xml:space="preserve">De uitvoering van de </w:t>
      </w:r>
      <w:r w:rsidR="008B51BA">
        <w:t xml:space="preserve">analyse van de verklaringen 2023 en de </w:t>
      </w:r>
      <w:r>
        <w:t xml:space="preserve">evaluatie geschiedt </w:t>
      </w:r>
      <w:r w:rsidR="00041A88">
        <w:t xml:space="preserve">deels </w:t>
      </w:r>
      <w:r>
        <w:t>door collega’s van afdelingen Regelgeving, B&amp;M en communicatie</w:t>
      </w:r>
      <w:r w:rsidR="009D2E33">
        <w:t xml:space="preserve">. </w:t>
      </w:r>
      <w:r w:rsidR="00A171E4">
        <w:t xml:space="preserve">Vanwege de beperkte capaciteit </w:t>
      </w:r>
      <w:r w:rsidR="00C32C00">
        <w:t xml:space="preserve">is aanvullend </w:t>
      </w:r>
      <w:r w:rsidR="00A171E4">
        <w:t>ook externe inhuur nodig</w:t>
      </w:r>
      <w:r w:rsidR="006D4C84">
        <w:t xml:space="preserve">. </w:t>
      </w:r>
      <w:r w:rsidR="009D2E33">
        <w:t xml:space="preserve">De </w:t>
      </w:r>
      <w:r w:rsidR="00C32C00">
        <w:t xml:space="preserve">overige </w:t>
      </w:r>
      <w:r w:rsidR="009D2E33">
        <w:t xml:space="preserve">kosten zijn </w:t>
      </w:r>
      <w:r w:rsidR="006D4C84">
        <w:t xml:space="preserve">verder </w:t>
      </w:r>
      <w:r w:rsidR="009D2E33">
        <w:t xml:space="preserve">afhankelijk van het </w:t>
      </w:r>
      <w:r w:rsidR="006D4C84">
        <w:t xml:space="preserve">al dan niet </w:t>
      </w:r>
      <w:r w:rsidR="009D2E33">
        <w:t>inzetten van eigen</w:t>
      </w:r>
      <w:r w:rsidR="00330294">
        <w:t xml:space="preserve"> tooling. </w:t>
      </w:r>
    </w:p>
    <w:p w14:paraId="1B654D14" w14:textId="19549956" w:rsidR="009D2E33" w:rsidRDefault="009D2E33" w:rsidP="00D578E6">
      <w:pPr>
        <w:pStyle w:val="Geenafstand"/>
      </w:pPr>
    </w:p>
    <w:p w14:paraId="1257E432" w14:textId="53E7A7E0" w:rsidR="00C32C00" w:rsidRDefault="003C1DC4" w:rsidP="00D578E6">
      <w:pPr>
        <w:pStyle w:val="Geenafstand"/>
      </w:pPr>
      <w:r>
        <w:t xml:space="preserve">Naar verwachting </w:t>
      </w:r>
      <w:r w:rsidR="002E2809">
        <w:t>zal</w:t>
      </w:r>
      <w:r>
        <w:t xml:space="preserve"> sprake </w:t>
      </w:r>
      <w:r w:rsidR="002E2809">
        <w:t>zijn</w:t>
      </w:r>
      <w:r w:rsidR="00382FCF">
        <w:t xml:space="preserve"> </w:t>
      </w:r>
      <w:r>
        <w:t>van out of pocket kosten</w:t>
      </w:r>
      <w:r w:rsidR="00B04D3A">
        <w:t xml:space="preserve">, </w:t>
      </w:r>
      <w:r w:rsidR="00382FCF">
        <w:t>zoals</w:t>
      </w:r>
      <w:r w:rsidR="00B04D3A">
        <w:t xml:space="preserve"> de </w:t>
      </w:r>
      <w:r w:rsidR="00382FCF">
        <w:t>(</w:t>
      </w:r>
      <w:r w:rsidR="00B04D3A">
        <w:t xml:space="preserve">doorlopende </w:t>
      </w:r>
      <w:r w:rsidR="00C32C00">
        <w:t xml:space="preserve">en aanvullende) . </w:t>
      </w:r>
    </w:p>
    <w:p w14:paraId="1F7D1E6D" w14:textId="792029EB" w:rsidR="00322257" w:rsidRDefault="00B04D3A" w:rsidP="00D578E6">
      <w:pPr>
        <w:pStyle w:val="Geenafstand"/>
      </w:pPr>
      <w:r>
        <w:t xml:space="preserve">inhuur van </w:t>
      </w:r>
      <w:r w:rsidR="008B51BA">
        <w:t>NBA-</w:t>
      </w:r>
      <w:r>
        <w:t>medewerkers</w:t>
      </w:r>
      <w:r w:rsidR="00355629">
        <w:t xml:space="preserve"> en </w:t>
      </w:r>
      <w:r w:rsidR="00041A88">
        <w:t>inhuur van externe medewerkers</w:t>
      </w:r>
      <w:r w:rsidR="006D4C84">
        <w:t xml:space="preserve"> en mogelijke bijeenkomsten en tooling</w:t>
      </w:r>
      <w:r>
        <w:t xml:space="preserve">. </w:t>
      </w:r>
    </w:p>
    <w:p w14:paraId="1AF829ED" w14:textId="77777777" w:rsidR="00C32C00" w:rsidRDefault="00C32C00" w:rsidP="00D578E6">
      <w:pPr>
        <w:pStyle w:val="Geenafstand"/>
      </w:pPr>
    </w:p>
    <w:p w14:paraId="08C3F75A" w14:textId="6A6BB61B" w:rsidR="00C32C00" w:rsidRDefault="00C32C00" w:rsidP="00D578E6">
      <w:pPr>
        <w:pStyle w:val="Geenafstand"/>
      </w:pPr>
      <w:r>
        <w:t xml:space="preserve">Het projectteam heeft bij het MT van de NBA een begroting ingediend, waarop goedkeuring </w:t>
      </w:r>
      <w:r w:rsidR="006849B8">
        <w:t>is</w:t>
      </w:r>
      <w:r>
        <w:t xml:space="preserve"> verkregen</w:t>
      </w:r>
      <w:r w:rsidR="003047AC">
        <w:t>,</w:t>
      </w:r>
      <w:r>
        <w:t xml:space="preserve"> voor het inzetten van extra capaciteit voor dit project. </w:t>
      </w:r>
    </w:p>
    <w:p w14:paraId="74EBAE5A" w14:textId="77777777" w:rsidR="002861EB" w:rsidRPr="00E81D58" w:rsidRDefault="002861EB" w:rsidP="00D578E6">
      <w:pPr>
        <w:pStyle w:val="Geenafstand"/>
      </w:pPr>
    </w:p>
    <w:p w14:paraId="61E7F92F" w14:textId="21176C6C" w:rsidR="00EB7E5D" w:rsidRPr="00B57103" w:rsidRDefault="00EB7E5D" w:rsidP="00D578E6">
      <w:pPr>
        <w:pStyle w:val="Geenafstand"/>
        <w:numPr>
          <w:ilvl w:val="0"/>
          <w:numId w:val="24"/>
        </w:numPr>
        <w:rPr>
          <w:rStyle w:val="Intensievebenadrukking"/>
          <w:i w:val="0"/>
          <w:iCs w:val="0"/>
          <w:color w:val="auto"/>
        </w:rPr>
      </w:pPr>
      <w:r w:rsidRPr="00B57103">
        <w:rPr>
          <w:rStyle w:val="Intensievebenadrukking"/>
          <w:i w:val="0"/>
          <w:iCs w:val="0"/>
          <w:color w:val="auto"/>
        </w:rPr>
        <w:t>Projectplanning</w:t>
      </w:r>
      <w:r w:rsidR="002861EB" w:rsidRPr="00B57103">
        <w:rPr>
          <w:rStyle w:val="Intensievebenadrukking"/>
          <w:i w:val="0"/>
          <w:iCs w:val="0"/>
          <w:color w:val="auto"/>
        </w:rPr>
        <w:t>, fasering, mijlpalen, resources</w:t>
      </w:r>
    </w:p>
    <w:p w14:paraId="56C35D35" w14:textId="77777777" w:rsidR="00E2402B" w:rsidRDefault="003C1DC4" w:rsidP="00D578E6">
      <w:pPr>
        <w:pStyle w:val="Geenafstand"/>
        <w:numPr>
          <w:ilvl w:val="0"/>
          <w:numId w:val="13"/>
        </w:numPr>
      </w:pPr>
      <w:r>
        <w:t>Capaciteit zal worden geleverd vanuit vaste bezetting / inhuur door de NBA (afdeling Beroep en Maatschappij en Regelgeving</w:t>
      </w:r>
      <w:r w:rsidR="006228AC">
        <w:t xml:space="preserve"> en Communicatie</w:t>
      </w:r>
      <w:r>
        <w:t xml:space="preserve">) met </w:t>
      </w:r>
      <w:r w:rsidR="006228AC">
        <w:t>betrokkenheid</w:t>
      </w:r>
      <w:r>
        <w:t xml:space="preserve"> vanuit de werkgroepen fraude en continuïteit.</w:t>
      </w:r>
    </w:p>
    <w:p w14:paraId="72695A16" w14:textId="77777777" w:rsidR="00E2402B" w:rsidRDefault="006228AC" w:rsidP="00D578E6">
      <w:pPr>
        <w:pStyle w:val="Geenafstand"/>
        <w:numPr>
          <w:ilvl w:val="0"/>
          <w:numId w:val="13"/>
        </w:numPr>
      </w:pPr>
      <w:r>
        <w:t xml:space="preserve">Deze evaluatie vergt </w:t>
      </w:r>
      <w:r w:rsidR="005C550B">
        <w:t>goede</w:t>
      </w:r>
      <w:r>
        <w:t xml:space="preserve"> communicatie en </w:t>
      </w:r>
      <w:proofErr w:type="spellStart"/>
      <w:r>
        <w:t>tooling</w:t>
      </w:r>
      <w:proofErr w:type="spellEnd"/>
      <w:r>
        <w:t xml:space="preserve"> </w:t>
      </w:r>
      <w:r w:rsidR="0034365E">
        <w:t xml:space="preserve">ter benadering van de stakeholders en evaluatie van de antwoorden en uitkomsten die terugkomen. </w:t>
      </w:r>
    </w:p>
    <w:p w14:paraId="7B170A05" w14:textId="513F5977" w:rsidR="005C550B" w:rsidRDefault="005C550B" w:rsidP="00D578E6">
      <w:pPr>
        <w:pStyle w:val="Geenafstand"/>
        <w:numPr>
          <w:ilvl w:val="0"/>
          <w:numId w:val="13"/>
        </w:numPr>
      </w:pPr>
      <w:r>
        <w:t xml:space="preserve">De resources zijn beperkt door samenloop met andere projecten etc. </w:t>
      </w:r>
    </w:p>
    <w:p w14:paraId="6384DCC9" w14:textId="77777777" w:rsidR="005C550B" w:rsidRDefault="005C550B" w:rsidP="00D578E6">
      <w:pPr>
        <w:pStyle w:val="Geenafstand"/>
      </w:pPr>
    </w:p>
    <w:p w14:paraId="0DBF340E" w14:textId="345A3E8A" w:rsidR="0034365E" w:rsidRDefault="005E0E77" w:rsidP="00D578E6">
      <w:pPr>
        <w:pStyle w:val="Geenafstand"/>
      </w:pPr>
      <w:r>
        <w:t xml:space="preserve">Als vanuit SCA / CB een akkoord komt op </w:t>
      </w:r>
      <w:r w:rsidR="00E2402B">
        <w:t>dit plan van</w:t>
      </w:r>
      <w:r>
        <w:t xml:space="preserve"> aanpak </w:t>
      </w:r>
      <w:r w:rsidR="006D4C84">
        <w:t>zullen</w:t>
      </w:r>
      <w:r>
        <w:t xml:space="preserve"> we dit </w:t>
      </w:r>
      <w:r w:rsidR="006D4C84">
        <w:t xml:space="preserve">project </w:t>
      </w:r>
      <w:r w:rsidR="00EC38A1">
        <w:t xml:space="preserve">in samenwerking en in goed overleg met de afdeling regelgeving </w:t>
      </w:r>
      <w:r>
        <w:t xml:space="preserve">gaan inregelen binnen de NBA. </w:t>
      </w:r>
    </w:p>
    <w:p w14:paraId="2E74EBE1" w14:textId="77777777" w:rsidR="00A10E74" w:rsidRDefault="00A10E74" w:rsidP="00D578E6">
      <w:pPr>
        <w:pStyle w:val="Geenafstand"/>
      </w:pPr>
    </w:p>
    <w:p w14:paraId="00222604" w14:textId="3FC23D2A" w:rsidR="00A10E74" w:rsidRPr="00B57103" w:rsidRDefault="00A10E74" w:rsidP="00D578E6">
      <w:pPr>
        <w:pStyle w:val="Geenafstand"/>
        <w:numPr>
          <w:ilvl w:val="0"/>
          <w:numId w:val="24"/>
        </w:numPr>
        <w:rPr>
          <w:b/>
          <w:bCs/>
        </w:rPr>
      </w:pPr>
      <w:r w:rsidRPr="00B57103">
        <w:rPr>
          <w:b/>
          <w:bCs/>
        </w:rPr>
        <w:lastRenderedPageBreak/>
        <w:t>Mijlpalen</w:t>
      </w:r>
    </w:p>
    <w:p w14:paraId="00AFBF3C" w14:textId="77777777" w:rsidR="009E7365" w:rsidRDefault="009E7365" w:rsidP="00D578E6">
      <w:pPr>
        <w:spacing w:after="0" w:line="240" w:lineRule="auto"/>
      </w:pPr>
    </w:p>
    <w:p w14:paraId="428B6605" w14:textId="40D774B9" w:rsidR="00042D33" w:rsidRDefault="00A431B8" w:rsidP="00D578E6">
      <w:pPr>
        <w:pStyle w:val="Lijstalinea"/>
        <w:numPr>
          <w:ilvl w:val="0"/>
          <w:numId w:val="22"/>
        </w:numPr>
        <w:rPr>
          <w:b/>
          <w:bCs/>
          <w:i/>
          <w:iCs/>
        </w:rPr>
      </w:pPr>
      <w:r>
        <w:rPr>
          <w:b/>
          <w:bCs/>
          <w:i/>
          <w:iCs/>
        </w:rPr>
        <w:t>Evaluatie en advies aan NBA bestuur</w:t>
      </w:r>
    </w:p>
    <w:p w14:paraId="05A7FB22" w14:textId="006DE29B" w:rsidR="00F443FD" w:rsidRPr="00FC649C" w:rsidRDefault="00F443FD" w:rsidP="00D578E6">
      <w:pPr>
        <w:spacing w:after="0" w:line="240" w:lineRule="auto"/>
        <w:rPr>
          <w:iCs/>
        </w:rPr>
      </w:pPr>
      <w:r w:rsidRPr="00FC649C">
        <w:rPr>
          <w:i/>
          <w:iCs/>
        </w:rPr>
        <w:t xml:space="preserve">Goedkeuring Projectplan door SCA: </w:t>
      </w:r>
      <w:r w:rsidRPr="00FC649C">
        <w:rPr>
          <w:i/>
          <w:iCs/>
        </w:rPr>
        <w:tab/>
      </w:r>
      <w:r w:rsidR="00FC649C">
        <w:rPr>
          <w:i/>
          <w:iCs/>
        </w:rPr>
        <w:tab/>
      </w:r>
      <w:r w:rsidR="006D4C84">
        <w:rPr>
          <w:i/>
          <w:iCs/>
        </w:rPr>
        <w:tab/>
      </w:r>
      <w:r w:rsidR="00E35E4F">
        <w:rPr>
          <w:i/>
          <w:iCs/>
        </w:rPr>
        <w:t>4 september</w:t>
      </w:r>
      <w:r w:rsidR="008B51BA">
        <w:rPr>
          <w:i/>
          <w:iCs/>
        </w:rPr>
        <w:t xml:space="preserve"> </w:t>
      </w:r>
      <w:r w:rsidR="00FC649C">
        <w:rPr>
          <w:i/>
          <w:iCs/>
        </w:rPr>
        <w:t>2024</w:t>
      </w:r>
      <w:r w:rsidRPr="00FC649C">
        <w:rPr>
          <w:i/>
          <w:iCs/>
        </w:rPr>
        <w:tab/>
      </w:r>
    </w:p>
    <w:p w14:paraId="1B4F7663" w14:textId="0C7AD2E8" w:rsidR="00EB7E5D" w:rsidRPr="00FC649C" w:rsidRDefault="00EB7E5D" w:rsidP="00D578E6">
      <w:pPr>
        <w:spacing w:after="0" w:line="240" w:lineRule="auto"/>
        <w:rPr>
          <w:iCs/>
        </w:rPr>
      </w:pPr>
      <w:r w:rsidRPr="00FC649C">
        <w:rPr>
          <w:i/>
          <w:iCs/>
        </w:rPr>
        <w:t xml:space="preserve">Goedkeuring Projectplan door CB: </w:t>
      </w:r>
      <w:r w:rsidRPr="00FC649C">
        <w:rPr>
          <w:i/>
          <w:iCs/>
        </w:rPr>
        <w:tab/>
      </w:r>
      <w:r w:rsidR="009E733F" w:rsidRPr="00FC649C">
        <w:rPr>
          <w:i/>
          <w:iCs/>
        </w:rPr>
        <w:tab/>
      </w:r>
      <w:r w:rsidR="00FC649C">
        <w:rPr>
          <w:i/>
          <w:iCs/>
        </w:rPr>
        <w:tab/>
      </w:r>
      <w:r w:rsidR="00C14476">
        <w:rPr>
          <w:i/>
          <w:iCs/>
        </w:rPr>
        <w:t xml:space="preserve">17 oktober </w:t>
      </w:r>
      <w:r w:rsidR="00FC649C">
        <w:rPr>
          <w:i/>
          <w:iCs/>
        </w:rPr>
        <w:t>2024</w:t>
      </w:r>
      <w:r w:rsidR="00F443FD" w:rsidRPr="00FC649C">
        <w:rPr>
          <w:i/>
          <w:iCs/>
        </w:rPr>
        <w:tab/>
      </w:r>
    </w:p>
    <w:p w14:paraId="058F8FF9" w14:textId="77881EE2" w:rsidR="00EE6942" w:rsidRDefault="00EE6942" w:rsidP="00D578E6">
      <w:pPr>
        <w:spacing w:after="0" w:line="240" w:lineRule="auto"/>
        <w:rPr>
          <w:i/>
          <w:iCs/>
        </w:rPr>
      </w:pPr>
      <w:r w:rsidRPr="00FC649C">
        <w:rPr>
          <w:i/>
          <w:iCs/>
        </w:rPr>
        <w:t xml:space="preserve">Projectplan </w:t>
      </w:r>
      <w:r w:rsidR="003047AC">
        <w:rPr>
          <w:i/>
          <w:iCs/>
        </w:rPr>
        <w:t>ter informatie naar</w:t>
      </w:r>
      <w:r w:rsidRPr="00FC649C">
        <w:rPr>
          <w:i/>
          <w:iCs/>
        </w:rPr>
        <w:t xml:space="preserve"> DB</w:t>
      </w:r>
      <w:r w:rsidR="003047AC">
        <w:rPr>
          <w:i/>
          <w:iCs/>
        </w:rPr>
        <w:t>:</w:t>
      </w:r>
      <w:r w:rsidRPr="00FC649C">
        <w:rPr>
          <w:i/>
          <w:iCs/>
        </w:rPr>
        <w:tab/>
      </w:r>
      <w:r w:rsidRPr="00FC649C">
        <w:rPr>
          <w:i/>
          <w:iCs/>
        </w:rPr>
        <w:tab/>
      </w:r>
      <w:r w:rsidR="00F443FD" w:rsidRPr="00FC649C">
        <w:rPr>
          <w:i/>
          <w:iCs/>
        </w:rPr>
        <w:tab/>
      </w:r>
      <w:r w:rsidR="003047AC">
        <w:rPr>
          <w:i/>
          <w:iCs/>
        </w:rPr>
        <w:t>2</w:t>
      </w:r>
      <w:r w:rsidR="00313F59">
        <w:rPr>
          <w:i/>
          <w:iCs/>
        </w:rPr>
        <w:t>3</w:t>
      </w:r>
      <w:r w:rsidR="003047AC">
        <w:rPr>
          <w:i/>
          <w:iCs/>
        </w:rPr>
        <w:t xml:space="preserve"> oktober</w:t>
      </w:r>
      <w:r w:rsidR="008B51BA">
        <w:rPr>
          <w:i/>
          <w:iCs/>
        </w:rPr>
        <w:t xml:space="preserve"> </w:t>
      </w:r>
      <w:r w:rsidR="00FC649C">
        <w:rPr>
          <w:i/>
          <w:iCs/>
        </w:rPr>
        <w:t>2024</w:t>
      </w:r>
    </w:p>
    <w:p w14:paraId="79B7D314" w14:textId="298EBC4B" w:rsidR="00A51F2C" w:rsidRDefault="00A51F2C" w:rsidP="00D578E6">
      <w:pPr>
        <w:spacing w:after="0" w:line="240" w:lineRule="auto"/>
        <w:rPr>
          <w:i/>
          <w:iCs/>
        </w:rPr>
      </w:pPr>
      <w:r>
        <w:rPr>
          <w:i/>
          <w:iCs/>
        </w:rPr>
        <w:t xml:space="preserve">Uitvoering </w:t>
      </w:r>
      <w:r>
        <w:rPr>
          <w:i/>
          <w:iCs/>
        </w:rPr>
        <w:tab/>
      </w:r>
      <w:r>
        <w:rPr>
          <w:i/>
          <w:iCs/>
        </w:rPr>
        <w:tab/>
      </w:r>
      <w:r>
        <w:rPr>
          <w:i/>
          <w:iCs/>
        </w:rPr>
        <w:tab/>
      </w:r>
      <w:r>
        <w:rPr>
          <w:i/>
          <w:iCs/>
        </w:rPr>
        <w:tab/>
      </w:r>
      <w:r>
        <w:rPr>
          <w:i/>
          <w:iCs/>
        </w:rPr>
        <w:tab/>
      </w:r>
      <w:r>
        <w:rPr>
          <w:i/>
          <w:iCs/>
        </w:rPr>
        <w:tab/>
      </w:r>
      <w:r w:rsidR="006106D3">
        <w:rPr>
          <w:i/>
          <w:iCs/>
        </w:rPr>
        <w:t xml:space="preserve">oktober </w:t>
      </w:r>
      <w:r w:rsidR="00716C5E">
        <w:rPr>
          <w:i/>
          <w:iCs/>
        </w:rPr>
        <w:t>2024</w:t>
      </w:r>
      <w:r w:rsidR="00E35E4F">
        <w:rPr>
          <w:i/>
          <w:iCs/>
        </w:rPr>
        <w:t xml:space="preserve"> </w:t>
      </w:r>
      <w:r w:rsidR="00D01BEB">
        <w:rPr>
          <w:i/>
          <w:iCs/>
        </w:rPr>
        <w:t>-</w:t>
      </w:r>
      <w:r w:rsidR="00E35E4F">
        <w:rPr>
          <w:i/>
          <w:iCs/>
        </w:rPr>
        <w:t xml:space="preserve"> </w:t>
      </w:r>
      <w:r w:rsidR="00716C5E">
        <w:rPr>
          <w:i/>
          <w:iCs/>
        </w:rPr>
        <w:t>januari 2025</w:t>
      </w:r>
    </w:p>
    <w:p w14:paraId="018E5599" w14:textId="63DA493C" w:rsidR="00EB77DA" w:rsidRPr="005E3434" w:rsidRDefault="72DD6AA8" w:rsidP="5AA9195D">
      <w:pPr>
        <w:pStyle w:val="Lijstalinea"/>
        <w:numPr>
          <w:ilvl w:val="0"/>
          <w:numId w:val="13"/>
        </w:numPr>
        <w:rPr>
          <w:i/>
          <w:iCs/>
        </w:rPr>
      </w:pPr>
      <w:r w:rsidRPr="5AA9195D">
        <w:rPr>
          <w:i/>
          <w:iCs/>
        </w:rPr>
        <w:t>Behandeling</w:t>
      </w:r>
      <w:r w:rsidR="718ED0C2" w:rsidRPr="5AA9195D">
        <w:rPr>
          <w:i/>
          <w:iCs/>
        </w:rPr>
        <w:t xml:space="preserve"> </w:t>
      </w:r>
      <w:r w:rsidR="45B1586B" w:rsidRPr="5AA9195D">
        <w:rPr>
          <w:i/>
          <w:iCs/>
        </w:rPr>
        <w:t>uitkomsten</w:t>
      </w:r>
      <w:r w:rsidR="718ED0C2" w:rsidRPr="5AA9195D">
        <w:rPr>
          <w:i/>
          <w:iCs/>
        </w:rPr>
        <w:t xml:space="preserve"> </w:t>
      </w:r>
      <w:r w:rsidR="5BE5EBDC" w:rsidRPr="5AA9195D">
        <w:rPr>
          <w:i/>
          <w:iCs/>
        </w:rPr>
        <w:t>door SCA:</w:t>
      </w:r>
      <w:r w:rsidR="00334FC2">
        <w:tab/>
      </w:r>
      <w:r w:rsidR="00334FC2">
        <w:tab/>
      </w:r>
      <w:r w:rsidR="006D4C84">
        <w:tab/>
      </w:r>
      <w:r w:rsidR="00E35E4F">
        <w:rPr>
          <w:i/>
          <w:iCs/>
        </w:rPr>
        <w:t>Gefaseerde aanlevering</w:t>
      </w:r>
    </w:p>
    <w:p w14:paraId="1E079F00" w14:textId="77777777" w:rsidR="00EB77DA" w:rsidRDefault="00EB77DA" w:rsidP="00D578E6">
      <w:pPr>
        <w:pStyle w:val="Lijstalinea"/>
        <w:numPr>
          <w:ilvl w:val="0"/>
          <w:numId w:val="13"/>
        </w:numPr>
        <w:rPr>
          <w:i/>
          <w:iCs/>
        </w:rPr>
      </w:pPr>
      <w:r>
        <w:rPr>
          <w:i/>
          <w:iCs/>
        </w:rPr>
        <w:t>Dit betreft:</w:t>
      </w:r>
    </w:p>
    <w:p w14:paraId="61C5186A" w14:textId="28244514" w:rsidR="00EB77DA" w:rsidRDefault="00EB77DA" w:rsidP="00D578E6">
      <w:pPr>
        <w:pStyle w:val="Lijstalinea"/>
        <w:numPr>
          <w:ilvl w:val="1"/>
          <w:numId w:val="13"/>
        </w:numPr>
        <w:rPr>
          <w:i/>
          <w:iCs/>
        </w:rPr>
      </w:pPr>
      <w:r>
        <w:rPr>
          <w:i/>
          <w:iCs/>
        </w:rPr>
        <w:t>Analyse verklaringen 2023</w:t>
      </w:r>
      <w:r w:rsidR="00E35E4F">
        <w:rPr>
          <w:i/>
          <w:iCs/>
        </w:rPr>
        <w:tab/>
      </w:r>
      <w:r w:rsidR="00E35E4F">
        <w:rPr>
          <w:i/>
          <w:iCs/>
        </w:rPr>
        <w:tab/>
      </w:r>
      <w:r w:rsidR="00E35E4F">
        <w:rPr>
          <w:i/>
          <w:iCs/>
        </w:rPr>
        <w:tab/>
      </w:r>
      <w:r w:rsidR="00872562">
        <w:rPr>
          <w:i/>
          <w:iCs/>
        </w:rPr>
        <w:t xml:space="preserve">okt </w:t>
      </w:r>
      <w:r w:rsidR="00E35E4F">
        <w:rPr>
          <w:i/>
          <w:iCs/>
        </w:rPr>
        <w:t xml:space="preserve">2024 – </w:t>
      </w:r>
      <w:r w:rsidR="00872562">
        <w:rPr>
          <w:i/>
          <w:iCs/>
        </w:rPr>
        <w:t xml:space="preserve">nov 2024 </w:t>
      </w:r>
    </w:p>
    <w:p w14:paraId="70D0DBAA" w14:textId="127ACF5C" w:rsidR="00EB77DA" w:rsidRDefault="00EB77DA" w:rsidP="00D578E6">
      <w:pPr>
        <w:pStyle w:val="Lijstalinea"/>
        <w:numPr>
          <w:ilvl w:val="1"/>
          <w:numId w:val="13"/>
        </w:numPr>
        <w:rPr>
          <w:i/>
          <w:iCs/>
        </w:rPr>
      </w:pPr>
      <w:r>
        <w:rPr>
          <w:i/>
          <w:iCs/>
        </w:rPr>
        <w:t>Evaluatie</w:t>
      </w:r>
      <w:r w:rsidR="00E35E4F">
        <w:rPr>
          <w:i/>
          <w:iCs/>
        </w:rPr>
        <w:tab/>
      </w:r>
      <w:r w:rsidR="00E35E4F">
        <w:rPr>
          <w:i/>
          <w:iCs/>
        </w:rPr>
        <w:tab/>
      </w:r>
      <w:r w:rsidR="00E35E4F">
        <w:rPr>
          <w:i/>
          <w:iCs/>
        </w:rPr>
        <w:tab/>
      </w:r>
      <w:r w:rsidR="00E35E4F">
        <w:rPr>
          <w:i/>
          <w:iCs/>
        </w:rPr>
        <w:tab/>
      </w:r>
      <w:r w:rsidR="00E35E4F">
        <w:rPr>
          <w:i/>
          <w:iCs/>
        </w:rPr>
        <w:tab/>
      </w:r>
      <w:r w:rsidR="00872562">
        <w:rPr>
          <w:i/>
          <w:iCs/>
        </w:rPr>
        <w:t xml:space="preserve">nov </w:t>
      </w:r>
      <w:r w:rsidR="00E35E4F">
        <w:rPr>
          <w:i/>
          <w:iCs/>
        </w:rPr>
        <w:t>– maart 2025</w:t>
      </w:r>
    </w:p>
    <w:p w14:paraId="793AD8CB" w14:textId="6AE43B38" w:rsidR="00231121" w:rsidRPr="00B57103" w:rsidRDefault="40BCC1F9" w:rsidP="5AA9195D">
      <w:pPr>
        <w:spacing w:after="0" w:line="240" w:lineRule="auto"/>
        <w:rPr>
          <w:i/>
          <w:iCs/>
        </w:rPr>
      </w:pPr>
      <w:r w:rsidRPr="5AA9195D">
        <w:rPr>
          <w:i/>
          <w:iCs/>
        </w:rPr>
        <w:t xml:space="preserve">Goedkeuring </w:t>
      </w:r>
      <w:proofErr w:type="spellStart"/>
      <w:r w:rsidR="385CBF3A" w:rsidRPr="5AA9195D">
        <w:rPr>
          <w:i/>
          <w:iCs/>
        </w:rPr>
        <w:t>def</w:t>
      </w:r>
      <w:proofErr w:type="spellEnd"/>
      <w:r w:rsidRPr="5AA9195D">
        <w:rPr>
          <w:i/>
          <w:iCs/>
        </w:rPr>
        <w:t xml:space="preserve"> Uiting door CB</w:t>
      </w:r>
      <w:r w:rsidR="00E35E4F">
        <w:rPr>
          <w:i/>
          <w:iCs/>
        </w:rPr>
        <w:t xml:space="preserve"> / </w:t>
      </w:r>
      <w:proofErr w:type="spellStart"/>
      <w:r w:rsidR="00E35E4F">
        <w:rPr>
          <w:i/>
          <w:iCs/>
        </w:rPr>
        <w:t>afstemm</w:t>
      </w:r>
      <w:proofErr w:type="spellEnd"/>
      <w:r w:rsidR="00E35E4F">
        <w:rPr>
          <w:i/>
          <w:iCs/>
        </w:rPr>
        <w:t>. BOB</w:t>
      </w:r>
      <w:r w:rsidRPr="5AA9195D">
        <w:rPr>
          <w:i/>
          <w:iCs/>
        </w:rPr>
        <w:t>:</w:t>
      </w:r>
      <w:r w:rsidR="00E67E24">
        <w:tab/>
      </w:r>
      <w:r w:rsidR="00B551BA">
        <w:rPr>
          <w:i/>
          <w:iCs/>
        </w:rPr>
        <w:t>april</w:t>
      </w:r>
      <w:r w:rsidR="00B551BA" w:rsidRPr="5AA9195D">
        <w:rPr>
          <w:i/>
          <w:iCs/>
        </w:rPr>
        <w:t xml:space="preserve"> </w:t>
      </w:r>
      <w:r w:rsidR="45B1586B" w:rsidRPr="5AA9195D">
        <w:rPr>
          <w:i/>
          <w:iCs/>
        </w:rPr>
        <w:t>202</w:t>
      </w:r>
      <w:r w:rsidR="24555CBC" w:rsidRPr="5AA9195D">
        <w:rPr>
          <w:i/>
          <w:iCs/>
        </w:rPr>
        <w:t>5</w:t>
      </w:r>
    </w:p>
    <w:p w14:paraId="527D8689" w14:textId="50C0B281" w:rsidR="00EB7E5D" w:rsidRDefault="00EB7E5D" w:rsidP="00D578E6">
      <w:pPr>
        <w:spacing w:after="0" w:line="240" w:lineRule="auto"/>
        <w:rPr>
          <w:i/>
          <w:iCs/>
        </w:rPr>
      </w:pPr>
      <w:r w:rsidRPr="00FC649C">
        <w:rPr>
          <w:i/>
          <w:iCs/>
        </w:rPr>
        <w:t xml:space="preserve">Goedkeuring </w:t>
      </w:r>
      <w:proofErr w:type="spellStart"/>
      <w:r w:rsidR="00EB1685">
        <w:rPr>
          <w:i/>
          <w:iCs/>
        </w:rPr>
        <w:t>def</w:t>
      </w:r>
      <w:proofErr w:type="spellEnd"/>
      <w:r w:rsidRPr="00FC649C">
        <w:rPr>
          <w:i/>
          <w:iCs/>
        </w:rPr>
        <w:t xml:space="preserve"> Uiting door DB:</w:t>
      </w:r>
      <w:r w:rsidRPr="00FC649C">
        <w:rPr>
          <w:i/>
          <w:iCs/>
        </w:rPr>
        <w:tab/>
        <w:t xml:space="preserve">  </w:t>
      </w:r>
      <w:r w:rsidR="009E733F" w:rsidRPr="00FC649C">
        <w:rPr>
          <w:i/>
          <w:iCs/>
        </w:rPr>
        <w:tab/>
      </w:r>
      <w:r w:rsidR="00F443FD" w:rsidRPr="00FC649C">
        <w:rPr>
          <w:i/>
          <w:iCs/>
        </w:rPr>
        <w:tab/>
      </w:r>
      <w:r w:rsidR="00B551BA">
        <w:rPr>
          <w:i/>
          <w:iCs/>
        </w:rPr>
        <w:t xml:space="preserve">mei </w:t>
      </w:r>
      <w:r w:rsidR="006228AC">
        <w:rPr>
          <w:i/>
          <w:iCs/>
        </w:rPr>
        <w:t>202</w:t>
      </w:r>
      <w:r w:rsidR="008B51BA">
        <w:rPr>
          <w:i/>
          <w:iCs/>
        </w:rPr>
        <w:t>5</w:t>
      </w:r>
    </w:p>
    <w:p w14:paraId="52498CF4" w14:textId="3C52F29E" w:rsidR="00EB7E5D" w:rsidRPr="00AA5A8D" w:rsidRDefault="00A431B8" w:rsidP="00D578E6">
      <w:pPr>
        <w:spacing w:after="0" w:line="240" w:lineRule="auto"/>
        <w:rPr>
          <w:b/>
          <w:bCs/>
          <w:i/>
          <w:iCs/>
          <w:color w:val="4F81BD"/>
        </w:rPr>
      </w:pPr>
      <w:r>
        <w:rPr>
          <w:i/>
          <w:iCs/>
        </w:rPr>
        <w:t>Communicatie naar buiten</w:t>
      </w:r>
      <w:r w:rsidR="00EB7E5D" w:rsidRPr="00FC649C">
        <w:rPr>
          <w:iCs/>
          <w:color w:val="000000"/>
        </w:rPr>
        <w:t xml:space="preserve">: </w:t>
      </w:r>
      <w:r w:rsidR="00EB7E5D" w:rsidRPr="00FC649C">
        <w:rPr>
          <w:iCs/>
          <w:color w:val="000000"/>
        </w:rPr>
        <w:tab/>
      </w:r>
      <w:r w:rsidR="009E733F" w:rsidRPr="00FC649C">
        <w:rPr>
          <w:iCs/>
          <w:color w:val="000000"/>
        </w:rPr>
        <w:tab/>
      </w:r>
      <w:r w:rsidR="009E733F">
        <w:rPr>
          <w:bCs/>
          <w:iCs/>
          <w:color w:val="000000"/>
        </w:rPr>
        <w:tab/>
      </w:r>
      <w:r w:rsidR="009E733F">
        <w:rPr>
          <w:bCs/>
          <w:iCs/>
          <w:color w:val="000000"/>
        </w:rPr>
        <w:tab/>
      </w:r>
      <w:r w:rsidR="00B551BA">
        <w:rPr>
          <w:i/>
          <w:iCs/>
        </w:rPr>
        <w:t>mei</w:t>
      </w:r>
      <w:r w:rsidR="008B51BA">
        <w:rPr>
          <w:i/>
          <w:iCs/>
        </w:rPr>
        <w:t xml:space="preserve"> </w:t>
      </w:r>
      <w:r w:rsidR="006228AC">
        <w:rPr>
          <w:i/>
          <w:iCs/>
        </w:rPr>
        <w:t>202</w:t>
      </w:r>
      <w:r w:rsidR="008B51BA">
        <w:rPr>
          <w:i/>
          <w:iCs/>
        </w:rPr>
        <w:t>5</w:t>
      </w:r>
      <w:r w:rsidR="00EB7E5D">
        <w:rPr>
          <w:bCs/>
          <w:iCs/>
          <w:color w:val="000000"/>
        </w:rPr>
        <w:t xml:space="preserve">   </w:t>
      </w:r>
    </w:p>
    <w:p w14:paraId="31002ACB" w14:textId="6FBFA1B1" w:rsidR="00EB7E5D" w:rsidRPr="00E81D58" w:rsidRDefault="00EB7E5D" w:rsidP="00D578E6">
      <w:pPr>
        <w:pStyle w:val="Geenafstand"/>
      </w:pPr>
      <w:r w:rsidRPr="00E81D58">
        <w:t xml:space="preserve">                         </w:t>
      </w:r>
    </w:p>
    <w:p w14:paraId="3150F120" w14:textId="5532591C" w:rsidR="006228AC" w:rsidRPr="006228AC" w:rsidRDefault="00A431B8" w:rsidP="00D578E6">
      <w:pPr>
        <w:pStyle w:val="Lijstalinea"/>
        <w:numPr>
          <w:ilvl w:val="0"/>
          <w:numId w:val="22"/>
        </w:numPr>
        <w:rPr>
          <w:i/>
          <w:iCs/>
        </w:rPr>
      </w:pPr>
      <w:r w:rsidRPr="00A431B8">
        <w:rPr>
          <w:b/>
          <w:bCs/>
          <w:i/>
          <w:iCs/>
        </w:rPr>
        <w:t xml:space="preserve">2025 Aanpassing </w:t>
      </w:r>
      <w:proofErr w:type="spellStart"/>
      <w:r w:rsidRPr="00A431B8">
        <w:rPr>
          <w:b/>
          <w:bCs/>
          <w:i/>
          <w:iCs/>
        </w:rPr>
        <w:t>Std</w:t>
      </w:r>
      <w:proofErr w:type="spellEnd"/>
      <w:r w:rsidRPr="00A431B8">
        <w:rPr>
          <w:b/>
          <w:bCs/>
          <w:i/>
          <w:iCs/>
        </w:rPr>
        <w:t xml:space="preserve"> 700</w:t>
      </w:r>
      <w:r w:rsidR="006228AC">
        <w:rPr>
          <w:b/>
          <w:bCs/>
          <w:i/>
          <w:iCs/>
        </w:rPr>
        <w:t xml:space="preserve"> – </w:t>
      </w:r>
      <w:r w:rsidR="006228AC" w:rsidRPr="006228AC">
        <w:rPr>
          <w:i/>
          <w:iCs/>
        </w:rPr>
        <w:t xml:space="preserve">volgtijdelijk </w:t>
      </w:r>
      <w:r w:rsidR="008B51BA">
        <w:rPr>
          <w:i/>
          <w:iCs/>
        </w:rPr>
        <w:t xml:space="preserve">– </w:t>
      </w:r>
      <w:r w:rsidR="006A6677">
        <w:rPr>
          <w:i/>
          <w:iCs/>
        </w:rPr>
        <w:t>april - ju</w:t>
      </w:r>
      <w:r w:rsidR="00B551BA">
        <w:rPr>
          <w:i/>
          <w:iCs/>
        </w:rPr>
        <w:t>l</w:t>
      </w:r>
      <w:r w:rsidR="006A6677">
        <w:rPr>
          <w:i/>
          <w:iCs/>
        </w:rPr>
        <w:t>i</w:t>
      </w:r>
      <w:r w:rsidR="008B51BA">
        <w:rPr>
          <w:i/>
          <w:iCs/>
        </w:rPr>
        <w:t xml:space="preserve"> 2025 - </w:t>
      </w:r>
      <w:r w:rsidR="006228AC" w:rsidRPr="006228AC">
        <w:rPr>
          <w:i/>
          <w:iCs/>
        </w:rPr>
        <w:t>indien van toepassing</w:t>
      </w:r>
      <w:r w:rsidR="008B51BA">
        <w:rPr>
          <w:i/>
          <w:iCs/>
        </w:rPr>
        <w:t xml:space="preserve"> </w:t>
      </w:r>
    </w:p>
    <w:p w14:paraId="606043BF" w14:textId="2F8053B9" w:rsidR="00F466E3" w:rsidRPr="00A431B8" w:rsidRDefault="00A431B8" w:rsidP="00D578E6">
      <w:pPr>
        <w:pStyle w:val="Lijstalinea"/>
        <w:numPr>
          <w:ilvl w:val="0"/>
          <w:numId w:val="22"/>
        </w:numPr>
        <w:rPr>
          <w:b/>
          <w:bCs/>
          <w:i/>
          <w:iCs/>
        </w:rPr>
      </w:pPr>
      <w:r w:rsidRPr="00A431B8">
        <w:rPr>
          <w:b/>
          <w:bCs/>
          <w:i/>
          <w:iCs/>
        </w:rPr>
        <w:t>2025 Aanpassing Handreiking 1150</w:t>
      </w:r>
      <w:r w:rsidR="00B21AAB">
        <w:rPr>
          <w:b/>
          <w:bCs/>
          <w:i/>
          <w:iCs/>
        </w:rPr>
        <w:t xml:space="preserve"> en 1151</w:t>
      </w:r>
      <w:r w:rsidR="006228AC">
        <w:rPr>
          <w:b/>
          <w:bCs/>
          <w:i/>
          <w:iCs/>
        </w:rPr>
        <w:t xml:space="preserve"> – </w:t>
      </w:r>
      <w:r w:rsidR="006228AC" w:rsidRPr="006228AC">
        <w:rPr>
          <w:i/>
          <w:iCs/>
        </w:rPr>
        <w:t xml:space="preserve">volgtijdelijk </w:t>
      </w:r>
      <w:r w:rsidR="008B51BA">
        <w:rPr>
          <w:i/>
          <w:iCs/>
        </w:rPr>
        <w:t xml:space="preserve">– </w:t>
      </w:r>
      <w:r w:rsidR="006A6677">
        <w:rPr>
          <w:i/>
          <w:iCs/>
        </w:rPr>
        <w:t>najaar</w:t>
      </w:r>
      <w:r w:rsidR="008B51BA">
        <w:rPr>
          <w:i/>
          <w:iCs/>
        </w:rPr>
        <w:t xml:space="preserve"> 2025 - </w:t>
      </w:r>
      <w:r w:rsidR="006228AC" w:rsidRPr="006228AC">
        <w:rPr>
          <w:i/>
          <w:iCs/>
        </w:rPr>
        <w:t>indien van toepassing</w:t>
      </w:r>
    </w:p>
    <w:p w14:paraId="75300AF1" w14:textId="77777777" w:rsidR="00A431B8" w:rsidRPr="00A431B8" w:rsidRDefault="00A431B8" w:rsidP="00D578E6">
      <w:pPr>
        <w:pStyle w:val="Lijstalinea"/>
        <w:rPr>
          <w:rFonts w:ascii="Arial" w:hAnsi="Arial" w:cs="Arial"/>
          <w:sz w:val="18"/>
        </w:rPr>
      </w:pPr>
    </w:p>
    <w:p w14:paraId="093A3B26" w14:textId="77777777" w:rsidR="00F466E3" w:rsidRDefault="00F466E3" w:rsidP="00D578E6">
      <w:pPr>
        <w:spacing w:line="240" w:lineRule="auto"/>
        <w:rPr>
          <w:rFonts w:ascii="Arial" w:hAnsi="Arial" w:cs="Arial"/>
          <w:sz w:val="18"/>
        </w:rPr>
      </w:pPr>
    </w:p>
    <w:p w14:paraId="25766070" w14:textId="77777777" w:rsidR="00183EB2" w:rsidRDefault="00183EB2" w:rsidP="00D578E6">
      <w:pPr>
        <w:spacing w:line="240" w:lineRule="auto"/>
        <w:rPr>
          <w:rFonts w:asciiTheme="minorHAnsi" w:hAnsiTheme="minorHAnsi" w:cstheme="minorHAnsi"/>
          <w:b/>
          <w:bCs/>
          <w:szCs w:val="28"/>
        </w:rPr>
      </w:pPr>
      <w:r>
        <w:rPr>
          <w:rFonts w:asciiTheme="minorHAnsi" w:hAnsiTheme="minorHAnsi" w:cstheme="minorHAnsi"/>
          <w:b/>
          <w:bCs/>
          <w:szCs w:val="28"/>
        </w:rPr>
        <w:br w:type="page"/>
      </w:r>
    </w:p>
    <w:p w14:paraId="42A92CD4" w14:textId="2A6E0FF8" w:rsidR="00D80E2D" w:rsidRPr="00F305DF" w:rsidRDefault="00183EB2" w:rsidP="00D578E6">
      <w:pPr>
        <w:pStyle w:val="Geenafstand"/>
        <w:rPr>
          <w:rFonts w:asciiTheme="minorHAnsi" w:hAnsiTheme="minorHAnsi" w:cstheme="minorHAnsi"/>
          <w:b/>
          <w:bCs/>
          <w:sz w:val="28"/>
          <w:szCs w:val="28"/>
        </w:rPr>
      </w:pPr>
      <w:r w:rsidRPr="00F305DF">
        <w:rPr>
          <w:rFonts w:asciiTheme="minorHAnsi" w:hAnsiTheme="minorHAnsi" w:cstheme="minorHAnsi"/>
          <w:b/>
          <w:bCs/>
          <w:sz w:val="28"/>
          <w:szCs w:val="28"/>
        </w:rPr>
        <w:lastRenderedPageBreak/>
        <w:t xml:space="preserve">Bijlage 1 </w:t>
      </w:r>
      <w:r w:rsidR="00DA2891" w:rsidRPr="00F305DF">
        <w:rPr>
          <w:rFonts w:asciiTheme="minorHAnsi" w:hAnsiTheme="minorHAnsi" w:cstheme="minorHAnsi"/>
          <w:b/>
          <w:bCs/>
          <w:sz w:val="28"/>
          <w:szCs w:val="28"/>
        </w:rPr>
        <w:t>NBA bestuur</w:t>
      </w:r>
      <w:r w:rsidR="007F3E43" w:rsidRPr="00F305DF">
        <w:rPr>
          <w:rFonts w:asciiTheme="minorHAnsi" w:hAnsiTheme="minorHAnsi" w:cstheme="minorHAnsi"/>
          <w:b/>
          <w:bCs/>
          <w:sz w:val="28"/>
          <w:szCs w:val="28"/>
        </w:rPr>
        <w:t>sbesluiten en -uitingen</w:t>
      </w:r>
    </w:p>
    <w:p w14:paraId="2C629B7F" w14:textId="77777777" w:rsidR="00D80E2D" w:rsidRDefault="00D80E2D" w:rsidP="00D578E6">
      <w:pPr>
        <w:pStyle w:val="Geenafstand"/>
        <w:rPr>
          <w:rFonts w:asciiTheme="minorHAnsi" w:hAnsiTheme="minorHAnsi" w:cstheme="minorHAnsi"/>
          <w:b/>
          <w:bCs/>
          <w:szCs w:val="28"/>
        </w:rPr>
      </w:pPr>
    </w:p>
    <w:p w14:paraId="45950FE0" w14:textId="7E1A31D3" w:rsidR="00183EB2" w:rsidRDefault="00D80E2D" w:rsidP="00D578E6">
      <w:pPr>
        <w:pStyle w:val="Geenafstand"/>
        <w:rPr>
          <w:b/>
          <w:bCs/>
        </w:rPr>
      </w:pPr>
      <w:r w:rsidRPr="00D80E2D">
        <w:rPr>
          <w:rFonts w:asciiTheme="minorHAnsi" w:hAnsiTheme="minorHAnsi" w:cstheme="minorHAnsi"/>
          <w:b/>
          <w:bCs/>
          <w:szCs w:val="28"/>
        </w:rPr>
        <w:t xml:space="preserve">2021: </w:t>
      </w:r>
      <w:r w:rsidR="00183EB2" w:rsidRPr="00D80E2D">
        <w:rPr>
          <w:b/>
          <w:bCs/>
        </w:rPr>
        <w:t>Bestuursbesluit tot aanpassing Nederlandse Standaard 700 en ACB advies</w:t>
      </w:r>
    </w:p>
    <w:p w14:paraId="0F9CC85C" w14:textId="77777777" w:rsidR="00487635" w:rsidRDefault="00487635" w:rsidP="00D578E6">
      <w:pPr>
        <w:pStyle w:val="Geenafstand"/>
        <w:rPr>
          <w:b/>
          <w:bCs/>
        </w:rPr>
      </w:pPr>
    </w:p>
    <w:p w14:paraId="40961653" w14:textId="77777777" w:rsidR="00487635" w:rsidRDefault="00487635" w:rsidP="00D578E6">
      <w:pPr>
        <w:pStyle w:val="Geenafstand"/>
        <w:numPr>
          <w:ilvl w:val="0"/>
          <w:numId w:val="13"/>
        </w:numPr>
        <w:ind w:left="284" w:hanging="284"/>
      </w:pPr>
      <w:r>
        <w:t xml:space="preserve">Toelichting NBA bestuursbesluit Standaard 700: </w:t>
      </w:r>
      <w:hyperlink r:id="rId11" w:history="1">
        <w:r>
          <w:rPr>
            <w:rStyle w:val="Hyperlink"/>
          </w:rPr>
          <w:t>Bestuursbesluit verplichte rapportage continuïteit en fraude (nba.nl)</w:t>
        </w:r>
      </w:hyperlink>
    </w:p>
    <w:p w14:paraId="58E33987" w14:textId="408FCD63" w:rsidR="00487635" w:rsidRDefault="00487635" w:rsidP="00D578E6">
      <w:pPr>
        <w:pStyle w:val="Geenafstand"/>
        <w:numPr>
          <w:ilvl w:val="0"/>
          <w:numId w:val="13"/>
        </w:numPr>
        <w:ind w:left="284" w:hanging="284"/>
      </w:pPr>
      <w:r>
        <w:t xml:space="preserve">Nederlandse </w:t>
      </w:r>
      <w:r w:rsidR="00221522">
        <w:t>S</w:t>
      </w:r>
      <w:r>
        <w:t xml:space="preserve">tandaard 700 paragraaf 29 / A41 – d.d. december 2021: </w:t>
      </w:r>
      <w:hyperlink r:id="rId12" w:history="1">
        <w:r>
          <w:rPr>
            <w:rStyle w:val="Hyperlink"/>
          </w:rPr>
          <w:t>aanpassingen-standaard-700-inzake-verplichte-rapportering-over-continuiteit-en-fraude---11-januari-2022.pdf</w:t>
        </w:r>
      </w:hyperlink>
    </w:p>
    <w:p w14:paraId="2022E5E8" w14:textId="77777777" w:rsidR="00487635" w:rsidRDefault="00487635" w:rsidP="00D578E6">
      <w:pPr>
        <w:pStyle w:val="Geenafstand"/>
      </w:pPr>
    </w:p>
    <w:p w14:paraId="028ED12E" w14:textId="77777777" w:rsidR="00183EB2" w:rsidRPr="005702F3" w:rsidRDefault="00183EB2" w:rsidP="00D578E6">
      <w:pPr>
        <w:autoSpaceDE w:val="0"/>
        <w:autoSpaceDN w:val="0"/>
        <w:adjustRightInd w:val="0"/>
        <w:spacing w:after="0" w:line="240" w:lineRule="auto"/>
      </w:pPr>
      <w:r>
        <w:t xml:space="preserve">In december 2021 heeft het NBA bestuur de wijzigingen in Standaard 700 </w:t>
      </w:r>
      <w:r w:rsidRPr="005702F3">
        <w:t>met</w:t>
      </w:r>
      <w:r>
        <w:rPr>
          <w:rFonts w:ascii="f12nyy2a-zpg-dtk-1zlelai78mshp" w:eastAsiaTheme="minorHAnsi" w:hAnsi="f12nyy2a-zpg-dtk-1zlelai78mshp" w:cs="f12nyy2a-zpg-dtk-1zlelai78mshp"/>
          <w:b/>
          <w:bCs/>
          <w:sz w:val="21"/>
          <w:szCs w:val="21"/>
        </w:rPr>
        <w:t xml:space="preserve"> </w:t>
      </w:r>
      <w:r w:rsidRPr="005702F3">
        <w:t>betrekking tot de</w:t>
      </w:r>
    </w:p>
    <w:p w14:paraId="3BFB8C28" w14:textId="77777777" w:rsidR="00183EB2" w:rsidRDefault="00183EB2" w:rsidP="00D578E6">
      <w:pPr>
        <w:autoSpaceDE w:val="0"/>
        <w:autoSpaceDN w:val="0"/>
        <w:adjustRightInd w:val="0"/>
        <w:spacing w:after="0" w:line="240" w:lineRule="auto"/>
        <w:rPr>
          <w:rFonts w:ascii="f12nyy2a-zpg-dtk-1zlelai78mshp" w:eastAsiaTheme="minorHAnsi" w:hAnsi="f12nyy2a-zpg-dtk-1zlelai78mshp" w:cs="f12nyy2a-zpg-dtk-1zlelai78mshp"/>
          <w:b/>
          <w:bCs/>
          <w:sz w:val="21"/>
          <w:szCs w:val="21"/>
        </w:rPr>
      </w:pPr>
      <w:r w:rsidRPr="005702F3">
        <w:t>verplichte rapportering over continuïteit en fraude in de controleverklaring</w:t>
      </w:r>
      <w:r>
        <w:t xml:space="preserve"> goedgekeurd. </w:t>
      </w:r>
      <w:r w:rsidRPr="005702F3">
        <w:t>Dit besluit is overeenkomstig het uitgewerkte advies van het</w:t>
      </w:r>
      <w:r>
        <w:t xml:space="preserve"> </w:t>
      </w:r>
      <w:r w:rsidRPr="005702F3">
        <w:t>Adviescollege Beroepsreglementering (ACB) aan het bestuur. De belangrijkste wijziging</w:t>
      </w:r>
      <w:r>
        <w:t xml:space="preserve"> </w:t>
      </w:r>
      <w:r w:rsidRPr="005702F3">
        <w:t>ten opzichte van het eerdere consultatiedocument is dat de verplichting vooralsnog</w:t>
      </w:r>
      <w:r>
        <w:t xml:space="preserve"> </w:t>
      </w:r>
      <w:r w:rsidRPr="005702F3">
        <w:t xml:space="preserve">alleen geldt voor het </w:t>
      </w:r>
      <w:proofErr w:type="spellStart"/>
      <w:r w:rsidRPr="005702F3">
        <w:t>Wta</w:t>
      </w:r>
      <w:proofErr w:type="spellEnd"/>
      <w:r w:rsidRPr="005702F3">
        <w:t>-domein. Tevens zal de maatregel over twee jaar worden</w:t>
      </w:r>
      <w:r>
        <w:t xml:space="preserve"> </w:t>
      </w:r>
      <w:r w:rsidRPr="005702F3">
        <w:rPr>
          <w:rFonts w:ascii="f12nyy2a-zpg-dtk-1zlelai78mshp" w:eastAsiaTheme="minorHAnsi" w:hAnsi="f12nyy2a-zpg-dtk-1zlelai78mshp" w:cs="f12nyy2a-zpg-dtk-1zlelai78mshp"/>
          <w:sz w:val="21"/>
          <w:szCs w:val="21"/>
        </w:rPr>
        <w:t>geëvalueerd</w:t>
      </w:r>
      <w:r>
        <w:rPr>
          <w:rFonts w:ascii="f12nyy2a-zpg-dtk-1zlelai78mshp" w:eastAsiaTheme="minorHAnsi" w:hAnsi="f12nyy2a-zpg-dtk-1zlelai78mshp" w:cs="f12nyy2a-zpg-dtk-1zlelai78mshp"/>
          <w:b/>
          <w:bCs/>
          <w:sz w:val="21"/>
          <w:szCs w:val="21"/>
        </w:rPr>
        <w:t>.</w:t>
      </w:r>
    </w:p>
    <w:p w14:paraId="3C3CA816" w14:textId="77777777" w:rsidR="00183EB2" w:rsidRDefault="00183EB2" w:rsidP="00D578E6">
      <w:pPr>
        <w:autoSpaceDE w:val="0"/>
        <w:autoSpaceDN w:val="0"/>
        <w:adjustRightInd w:val="0"/>
        <w:spacing w:after="0" w:line="240" w:lineRule="auto"/>
        <w:rPr>
          <w:rFonts w:ascii="f12nyy2a-zpg-dtk-1zlelai78mshp" w:eastAsiaTheme="minorHAnsi" w:hAnsi="f12nyy2a-zpg-dtk-1zlelai78mshp" w:cs="f12nyy2a-zpg-dtk-1zlelai78mshp"/>
          <w:b/>
          <w:bCs/>
          <w:sz w:val="21"/>
          <w:szCs w:val="21"/>
        </w:rPr>
      </w:pPr>
    </w:p>
    <w:p w14:paraId="7E091E64" w14:textId="77777777" w:rsidR="00183EB2" w:rsidRPr="00B16DED" w:rsidRDefault="00183EB2" w:rsidP="00D578E6">
      <w:pPr>
        <w:autoSpaceDE w:val="0"/>
        <w:autoSpaceDN w:val="0"/>
        <w:adjustRightInd w:val="0"/>
        <w:spacing w:after="0" w:line="240" w:lineRule="auto"/>
      </w:pPr>
      <w:r w:rsidRPr="00B16DED">
        <w:t>Het NBA bestuur was in 2021 van mening dat het belangrijk is meer zichtbaar te maken wat accountants aan continuïteit en fraude doen opdat stakeholders zich daarover een oordeel kunnen vormen. Door dit in de controleverklaring op te nemen hebben we alle accountants gevraagd om expliciet over continuïteit en frauderisicofactoren ook de discussie aan te gaan met de gecontroleerde en de desbetreffende toezicht</w:t>
      </w:r>
      <w:r>
        <w:t>h</w:t>
      </w:r>
      <w:r w:rsidRPr="00B16DED">
        <w:t>ouders (RvC/RvT). Het doel was tastbaar te maken wat je van een accountant mag verwachten.</w:t>
      </w:r>
    </w:p>
    <w:p w14:paraId="3EDFF0B1" w14:textId="77777777" w:rsidR="00183EB2" w:rsidRPr="00B16DED" w:rsidRDefault="00183EB2" w:rsidP="00D578E6">
      <w:pPr>
        <w:autoSpaceDE w:val="0"/>
        <w:autoSpaceDN w:val="0"/>
        <w:adjustRightInd w:val="0"/>
        <w:spacing w:after="0" w:line="240" w:lineRule="auto"/>
      </w:pPr>
    </w:p>
    <w:p w14:paraId="302194A3" w14:textId="77777777" w:rsidR="00183EB2" w:rsidRPr="00B16DED" w:rsidRDefault="00183EB2" w:rsidP="00D578E6">
      <w:pPr>
        <w:autoSpaceDE w:val="0"/>
        <w:autoSpaceDN w:val="0"/>
        <w:adjustRightInd w:val="0"/>
        <w:spacing w:after="0" w:line="240" w:lineRule="auto"/>
      </w:pPr>
      <w:r w:rsidRPr="00B16DED">
        <w:t>Het ACB heeft in 2021 de volgende punten onder de aandacht van het bestuur gebracht:</w:t>
      </w:r>
    </w:p>
    <w:p w14:paraId="134FFEFE" w14:textId="77777777" w:rsidR="00183EB2" w:rsidRPr="00B16DED" w:rsidRDefault="00183EB2" w:rsidP="00D578E6">
      <w:pPr>
        <w:autoSpaceDE w:val="0"/>
        <w:autoSpaceDN w:val="0"/>
        <w:adjustRightInd w:val="0"/>
        <w:spacing w:after="0" w:line="240" w:lineRule="auto"/>
      </w:pPr>
      <w:r w:rsidRPr="00B16DED">
        <w:t>1. Fasering invoering (</w:t>
      </w:r>
      <w:proofErr w:type="spellStart"/>
      <w:r w:rsidRPr="00B16DED">
        <w:t>oob</w:t>
      </w:r>
      <w:proofErr w:type="spellEnd"/>
      <w:r w:rsidRPr="00B16DED">
        <w:t>/</w:t>
      </w:r>
      <w:proofErr w:type="spellStart"/>
      <w:r w:rsidRPr="00B16DED">
        <w:t>wta</w:t>
      </w:r>
      <w:proofErr w:type="spellEnd"/>
      <w:r w:rsidRPr="00B16DED">
        <w:t>/overig)</w:t>
      </w:r>
    </w:p>
    <w:p w14:paraId="7EF61E93" w14:textId="77777777" w:rsidR="00183EB2" w:rsidRPr="00B16DED" w:rsidRDefault="00183EB2" w:rsidP="00D578E6">
      <w:pPr>
        <w:autoSpaceDE w:val="0"/>
        <w:autoSpaceDN w:val="0"/>
        <w:adjustRightInd w:val="0"/>
        <w:spacing w:after="0" w:line="240" w:lineRule="auto"/>
      </w:pPr>
      <w:r w:rsidRPr="00B16DED">
        <w:t>2. Proportionaliteit</w:t>
      </w:r>
    </w:p>
    <w:p w14:paraId="42FFF878" w14:textId="1FE4AB4A" w:rsidR="00183EB2" w:rsidRPr="00B16DED" w:rsidRDefault="00183EB2" w:rsidP="00D578E6">
      <w:pPr>
        <w:autoSpaceDE w:val="0"/>
        <w:autoSpaceDN w:val="0"/>
        <w:adjustRightInd w:val="0"/>
        <w:spacing w:after="0" w:line="240" w:lineRule="auto"/>
      </w:pPr>
      <w:r w:rsidRPr="00B16DED">
        <w:t>3. Toevoegen bevindingen/observaties/uitkomsten</w:t>
      </w:r>
    </w:p>
    <w:p w14:paraId="70EBF23A" w14:textId="77777777" w:rsidR="00183EB2" w:rsidRPr="00B16DED" w:rsidRDefault="00183EB2" w:rsidP="00D578E6">
      <w:pPr>
        <w:autoSpaceDE w:val="0"/>
        <w:autoSpaceDN w:val="0"/>
        <w:adjustRightInd w:val="0"/>
        <w:spacing w:after="0" w:line="240" w:lineRule="auto"/>
      </w:pPr>
      <w:r w:rsidRPr="00B16DED">
        <w:t>4. Toevoegen van Standaard 250 aan fraude</w:t>
      </w:r>
    </w:p>
    <w:p w14:paraId="26B884B9" w14:textId="77777777" w:rsidR="00183EB2" w:rsidRDefault="00183EB2" w:rsidP="00D578E6">
      <w:pPr>
        <w:autoSpaceDE w:val="0"/>
        <w:autoSpaceDN w:val="0"/>
        <w:adjustRightInd w:val="0"/>
        <w:spacing w:after="0" w:line="240" w:lineRule="auto"/>
        <w:rPr>
          <w:rFonts w:ascii="f1k1ujbb-14gi-eay-1kwo6vgaau9pf" w:eastAsiaTheme="minorHAnsi" w:hAnsi="f1k1ujbb-14gi-eay-1kwo6vgaau9pf" w:cs="f1k1ujbb-14gi-eay-1kwo6vgaau9pf"/>
          <w:sz w:val="21"/>
          <w:szCs w:val="21"/>
        </w:rPr>
      </w:pPr>
    </w:p>
    <w:p w14:paraId="0FC8652F" w14:textId="77777777" w:rsidR="00183EB2" w:rsidRPr="00B16DED" w:rsidRDefault="00183EB2" w:rsidP="00D578E6">
      <w:pPr>
        <w:autoSpaceDE w:val="0"/>
        <w:autoSpaceDN w:val="0"/>
        <w:adjustRightInd w:val="0"/>
        <w:spacing w:after="0" w:line="240" w:lineRule="auto"/>
      </w:pPr>
      <w:r w:rsidRPr="00B16DED">
        <w:t>Ad 1) Fasering invoering (</w:t>
      </w:r>
      <w:proofErr w:type="spellStart"/>
      <w:r w:rsidRPr="00B16DED">
        <w:t>oob</w:t>
      </w:r>
      <w:proofErr w:type="spellEnd"/>
      <w:r w:rsidRPr="00B16DED">
        <w:t>/</w:t>
      </w:r>
      <w:proofErr w:type="spellStart"/>
      <w:r w:rsidRPr="00B16DED">
        <w:t>wta</w:t>
      </w:r>
      <w:proofErr w:type="spellEnd"/>
      <w:r w:rsidRPr="00B16DED">
        <w:t>/overig)</w:t>
      </w:r>
    </w:p>
    <w:p w14:paraId="15DE637D" w14:textId="77777777" w:rsidR="00183EB2" w:rsidRPr="00B16DED" w:rsidRDefault="00183EB2" w:rsidP="00D578E6">
      <w:pPr>
        <w:autoSpaceDE w:val="0"/>
        <w:autoSpaceDN w:val="0"/>
        <w:adjustRightInd w:val="0"/>
        <w:spacing w:after="0" w:line="240" w:lineRule="auto"/>
      </w:pPr>
      <w:r w:rsidRPr="00B16DED">
        <w:t xml:space="preserve">Het bestuur heeft gelet op de consultatiereacties besloten om in de fasering van inwerkingtreding een knip aan te brengen tussen het </w:t>
      </w:r>
      <w:proofErr w:type="spellStart"/>
      <w:r w:rsidRPr="00B16DED">
        <w:t>Wta</w:t>
      </w:r>
      <w:proofErr w:type="spellEnd"/>
      <w:r w:rsidRPr="00B16DED">
        <w:t>-domein en het niet-</w:t>
      </w:r>
      <w:proofErr w:type="spellStart"/>
      <w:r w:rsidRPr="00B16DED">
        <w:t>Wta</w:t>
      </w:r>
      <w:proofErr w:type="spellEnd"/>
      <w:r w:rsidRPr="00B16DED">
        <w:t xml:space="preserve"> domein. Dat betekent dat de verplichte invoering van rapportering over fraude en continuïteit met ingang van het verslagjaar 2022 alleen betrekking heeft op controleopdrachten in het </w:t>
      </w:r>
      <w:proofErr w:type="spellStart"/>
      <w:r w:rsidRPr="00B16DED">
        <w:t>Wta</w:t>
      </w:r>
      <w:proofErr w:type="spellEnd"/>
      <w:r w:rsidRPr="00B16DED">
        <w:t>-domein. Besloten is dat de effectiviteit van de maatregel over twee jaar zal worden geëvalueerd. Op basis hiervan zal tevens een nader besluit worden genomen of een verplichtstelling voor alle andere controle-opdrachten passend is.</w:t>
      </w:r>
    </w:p>
    <w:p w14:paraId="0F9B7AB8" w14:textId="77777777" w:rsidR="00183EB2" w:rsidRPr="00B16DED" w:rsidRDefault="00183EB2" w:rsidP="00D578E6">
      <w:pPr>
        <w:autoSpaceDE w:val="0"/>
        <w:autoSpaceDN w:val="0"/>
        <w:adjustRightInd w:val="0"/>
        <w:spacing w:after="0" w:line="240" w:lineRule="auto"/>
      </w:pPr>
    </w:p>
    <w:p w14:paraId="5ABFA32F" w14:textId="77777777" w:rsidR="00183EB2" w:rsidRDefault="00183EB2" w:rsidP="00D578E6">
      <w:pPr>
        <w:autoSpaceDE w:val="0"/>
        <w:autoSpaceDN w:val="0"/>
        <w:adjustRightInd w:val="0"/>
        <w:spacing w:after="0" w:line="240" w:lineRule="auto"/>
      </w:pPr>
      <w:r>
        <w:t>Ad 2) Proportionaliteit</w:t>
      </w:r>
    </w:p>
    <w:p w14:paraId="04E420B6" w14:textId="77777777" w:rsidR="00183EB2" w:rsidRPr="00B16DED" w:rsidRDefault="00183EB2" w:rsidP="00D578E6">
      <w:pPr>
        <w:autoSpaceDE w:val="0"/>
        <w:autoSpaceDN w:val="0"/>
        <w:adjustRightInd w:val="0"/>
        <w:spacing w:after="0" w:line="240" w:lineRule="auto"/>
      </w:pPr>
      <w:r w:rsidRPr="00B16DED">
        <w:t>De consultatiereacties gaven een zeer gemengd beeld, variërend van ‘in alle gevallen rapporteren’ over continuïteit en fraude, tot het niet rapporteren als ‘er niets te melden valt’. Het bestuur heeft hierin een middenweg gekozen waarbij in alle situaties over continuïteit en fraude moet worden gerapporteerd, maar dat de sectie in de controleverklaring in verkorte vorm kan worden opgenomen indien één of beide onderwerpen geen significante aandacht van de accountant hebben vereist.</w:t>
      </w:r>
    </w:p>
    <w:p w14:paraId="3EC7A967" w14:textId="77777777" w:rsidR="00183EB2" w:rsidRPr="00B16DED" w:rsidRDefault="00183EB2" w:rsidP="00D578E6">
      <w:pPr>
        <w:autoSpaceDE w:val="0"/>
        <w:autoSpaceDN w:val="0"/>
        <w:adjustRightInd w:val="0"/>
        <w:spacing w:after="0" w:line="240" w:lineRule="auto"/>
      </w:pPr>
    </w:p>
    <w:p w14:paraId="3B2705D6" w14:textId="77777777" w:rsidR="00D6298E" w:rsidRDefault="00183EB2" w:rsidP="00D578E6">
      <w:pPr>
        <w:autoSpaceDE w:val="0"/>
        <w:autoSpaceDN w:val="0"/>
        <w:adjustRightInd w:val="0"/>
        <w:spacing w:after="0" w:line="240" w:lineRule="auto"/>
      </w:pPr>
      <w:r w:rsidRPr="00B16DED">
        <w:t>Ad 3) Toevoegen bevindingen/observaties/uitkomsten</w:t>
      </w:r>
    </w:p>
    <w:p w14:paraId="7162A425" w14:textId="34444C11" w:rsidR="00183EB2" w:rsidRPr="00B16DED" w:rsidRDefault="00183EB2" w:rsidP="00D578E6">
      <w:pPr>
        <w:autoSpaceDE w:val="0"/>
        <w:autoSpaceDN w:val="0"/>
        <w:adjustRightInd w:val="0"/>
        <w:spacing w:after="0" w:line="240" w:lineRule="auto"/>
      </w:pPr>
      <w:r w:rsidRPr="00B16DED">
        <w:t xml:space="preserve">De meeste respondenten zijn het oneens met het verplicht opnemen van specifieke uitkomsten en waarnemingen. Het is belangrijk dat juist ook de opstellers van het jaarverslag hierover transparant zijn. Tegelijkertijd begrijpt het bestuur heel goed dat de controleverklaring voor gebruikers aan waarde kan winnen indien deze informatie ook daar wordt toegevoegd. Daarom wordt het opnemen van uitkomsten en waarnemingen aangemoedigd zeker indien er aanwijzing van mogelijke fraude is. </w:t>
      </w:r>
      <w:r w:rsidRPr="00B16DED">
        <w:lastRenderedPageBreak/>
        <w:t>Een verplichting is echter op dit moment een brug te ver. In de tekstaanpassingen is aangesloten bij hetgeen in Standaard 701 voor kernpunten van de controle is geregeld. Ook daar zien we in de praktijk dat het opnemen van uitkomsten en waarnemingen steeds meer terrein heeft gewonnen. Wel is besloten – vanwege het belang van dit punt – over een jaar te evalueren of het opnemen van uitkomsten en waarnemingen alsnog verplicht moet worden gesteld.</w:t>
      </w:r>
    </w:p>
    <w:p w14:paraId="7040165A" w14:textId="77777777" w:rsidR="00183EB2" w:rsidRPr="00B16DED" w:rsidRDefault="00183EB2" w:rsidP="00D578E6">
      <w:pPr>
        <w:autoSpaceDE w:val="0"/>
        <w:autoSpaceDN w:val="0"/>
        <w:adjustRightInd w:val="0"/>
        <w:spacing w:after="0" w:line="240" w:lineRule="auto"/>
      </w:pPr>
    </w:p>
    <w:p w14:paraId="65A65EB9" w14:textId="77777777" w:rsidR="00183EB2" w:rsidRPr="00B16DED" w:rsidRDefault="00183EB2" w:rsidP="00D578E6">
      <w:pPr>
        <w:autoSpaceDE w:val="0"/>
        <w:autoSpaceDN w:val="0"/>
        <w:adjustRightInd w:val="0"/>
        <w:spacing w:after="0" w:line="240" w:lineRule="auto"/>
      </w:pPr>
      <w:r>
        <w:t xml:space="preserve">Ad 4) </w:t>
      </w:r>
      <w:r w:rsidRPr="00B16DED">
        <w:t>Toevoegen van Standaard 250 aan fraude</w:t>
      </w:r>
    </w:p>
    <w:p w14:paraId="3A8CCBEE" w14:textId="77777777" w:rsidR="00183EB2" w:rsidRDefault="00183EB2" w:rsidP="00D578E6">
      <w:pPr>
        <w:autoSpaceDE w:val="0"/>
        <w:autoSpaceDN w:val="0"/>
        <w:adjustRightInd w:val="0"/>
        <w:spacing w:after="0" w:line="240" w:lineRule="auto"/>
      </w:pPr>
      <w:r w:rsidRPr="00B16DED">
        <w:t>De meeste respondenten zijn het vanuit de consultatie eens om de reikwijdte van de verplichte rapportering vooralsnog te beperken tot fraude. Onmiskenbaar is dat een groot aantal situaties waarin wet- en regelgeving niet wordt nageleefd, een directe relatie heeft met fraude. De reikwijdte van Standaard 250 is echter dermate breed dat deze toevoeging niet zonder meer kan worden overgenomen. Het bestuur beseft dat de verplichtstelling om te rapporteren over fraude een opstap kan zijn om na de evaluatie over twee jaar de reikwijdte van de verplichte rapportering uit te breiden met het niet naleven van wet- en regelgeving. Door de verplichte rapportering vooralsnog te beperken tot fraude sluit het bestuur ook aan bij de ontwikkelingen op dit terrein binnen de IAASB.</w:t>
      </w:r>
    </w:p>
    <w:p w14:paraId="65764E18" w14:textId="77777777" w:rsidR="00D80E2D" w:rsidRDefault="00D80E2D" w:rsidP="00D578E6">
      <w:pPr>
        <w:autoSpaceDE w:val="0"/>
        <w:autoSpaceDN w:val="0"/>
        <w:adjustRightInd w:val="0"/>
        <w:spacing w:after="0" w:line="240" w:lineRule="auto"/>
      </w:pPr>
    </w:p>
    <w:p w14:paraId="4BBCDCCB" w14:textId="03EBED48" w:rsidR="00D80E2D" w:rsidRDefault="005702DD" w:rsidP="00D578E6">
      <w:pPr>
        <w:pStyle w:val="Default"/>
        <w:rPr>
          <w:rFonts w:ascii="Calibri" w:eastAsia="Calibri" w:hAnsi="Calibri" w:cs="Times New Roman"/>
          <w:b/>
          <w:bCs/>
          <w:color w:val="auto"/>
          <w:sz w:val="22"/>
          <w:szCs w:val="22"/>
        </w:rPr>
      </w:pPr>
      <w:r w:rsidRPr="005702DD">
        <w:rPr>
          <w:rFonts w:ascii="Calibri" w:eastAsia="Calibri" w:hAnsi="Calibri" w:cs="Times New Roman"/>
          <w:b/>
          <w:bCs/>
          <w:color w:val="auto"/>
          <w:sz w:val="22"/>
          <w:szCs w:val="22"/>
        </w:rPr>
        <w:t xml:space="preserve">2022: </w:t>
      </w:r>
      <w:r w:rsidR="00D80E2D" w:rsidRPr="005702DD">
        <w:rPr>
          <w:rFonts w:ascii="Calibri" w:eastAsia="Calibri" w:hAnsi="Calibri" w:cs="Times New Roman"/>
          <w:b/>
          <w:bCs/>
          <w:color w:val="auto"/>
          <w:sz w:val="22"/>
          <w:szCs w:val="22"/>
        </w:rPr>
        <w:t>NBA Bestuur</w:t>
      </w:r>
      <w:r>
        <w:rPr>
          <w:rFonts w:ascii="Calibri" w:eastAsia="Calibri" w:hAnsi="Calibri" w:cs="Times New Roman"/>
          <w:b/>
          <w:bCs/>
          <w:color w:val="auto"/>
          <w:sz w:val="22"/>
          <w:szCs w:val="22"/>
        </w:rPr>
        <w:t xml:space="preserve"> </w:t>
      </w:r>
      <w:r w:rsidR="00D80E2D" w:rsidRPr="005702DD">
        <w:rPr>
          <w:rFonts w:ascii="Calibri" w:eastAsia="Calibri" w:hAnsi="Calibri" w:cs="Times New Roman"/>
          <w:b/>
          <w:bCs/>
          <w:color w:val="auto"/>
          <w:sz w:val="22"/>
          <w:szCs w:val="22"/>
        </w:rPr>
        <w:t xml:space="preserve">aanmoediging n.a.v. NBA evaluatie toepassing fraudesecties 2021 </w:t>
      </w:r>
      <w:proofErr w:type="spellStart"/>
      <w:r w:rsidR="00D80E2D" w:rsidRPr="005702DD">
        <w:rPr>
          <w:rFonts w:ascii="Calibri" w:eastAsia="Calibri" w:hAnsi="Calibri" w:cs="Times New Roman"/>
          <w:b/>
          <w:bCs/>
          <w:color w:val="auto"/>
          <w:sz w:val="22"/>
          <w:szCs w:val="22"/>
        </w:rPr>
        <w:t>oob’s</w:t>
      </w:r>
      <w:proofErr w:type="spellEnd"/>
      <w:r w:rsidR="00D80E2D" w:rsidRPr="005702DD">
        <w:rPr>
          <w:rFonts w:ascii="Calibri" w:eastAsia="Calibri" w:hAnsi="Calibri" w:cs="Times New Roman"/>
          <w:b/>
          <w:bCs/>
          <w:color w:val="auto"/>
          <w:sz w:val="22"/>
          <w:szCs w:val="22"/>
        </w:rPr>
        <w:t xml:space="preserve"> </w:t>
      </w:r>
    </w:p>
    <w:p w14:paraId="03DEFD1F" w14:textId="77777777" w:rsidR="005702DD" w:rsidRPr="005702DD" w:rsidRDefault="005702DD" w:rsidP="00D578E6">
      <w:pPr>
        <w:pStyle w:val="Default"/>
        <w:rPr>
          <w:rFonts w:ascii="Calibri" w:eastAsia="Calibri" w:hAnsi="Calibri" w:cs="Times New Roman"/>
          <w:b/>
          <w:bCs/>
          <w:color w:val="auto"/>
          <w:sz w:val="22"/>
          <w:szCs w:val="22"/>
        </w:rPr>
      </w:pPr>
    </w:p>
    <w:p w14:paraId="276F3855" w14:textId="77777777" w:rsidR="00D80E2D" w:rsidRPr="00792642" w:rsidRDefault="00D80E2D" w:rsidP="00D578E6">
      <w:pPr>
        <w:pStyle w:val="Default"/>
        <w:rPr>
          <w:rFonts w:ascii="f1k1ujbb-14gi-eay-1kwo6vgaau9pf" w:hAnsi="f1k1ujbb-14gi-eay-1kwo6vgaau9pf" w:cs="f1k1ujbb-14gi-eay-1kwo6vgaau9pf"/>
          <w:sz w:val="21"/>
          <w:szCs w:val="21"/>
        </w:rPr>
      </w:pPr>
      <w:r>
        <w:rPr>
          <w:rFonts w:ascii="Calibri" w:eastAsia="Calibri" w:hAnsi="Calibri" w:cs="Times New Roman"/>
          <w:color w:val="auto"/>
          <w:sz w:val="22"/>
          <w:szCs w:val="22"/>
        </w:rPr>
        <w:t xml:space="preserve">De toepassing van het </w:t>
      </w:r>
      <w:r w:rsidRPr="00ED0E0E">
        <w:rPr>
          <w:rFonts w:ascii="Calibri" w:eastAsia="Calibri" w:hAnsi="Calibri" w:cs="Times New Roman"/>
          <w:color w:val="auto"/>
          <w:sz w:val="22"/>
          <w:szCs w:val="22"/>
        </w:rPr>
        <w:t>rapporteren in de fraudesectie</w:t>
      </w:r>
      <w:r>
        <w:rPr>
          <w:rFonts w:ascii="Calibri" w:eastAsia="Calibri" w:hAnsi="Calibri" w:cs="Times New Roman"/>
          <w:color w:val="auto"/>
          <w:sz w:val="22"/>
          <w:szCs w:val="22"/>
        </w:rPr>
        <w:t>s over verslagjaar 2021</w:t>
      </w:r>
      <w:r w:rsidRPr="00ED0E0E">
        <w:rPr>
          <w:rFonts w:ascii="Calibri" w:eastAsia="Calibri" w:hAnsi="Calibri" w:cs="Times New Roman"/>
          <w:color w:val="auto"/>
          <w:sz w:val="22"/>
          <w:szCs w:val="22"/>
        </w:rPr>
        <w:t xml:space="preserve"> heeft </w:t>
      </w:r>
      <w:r>
        <w:rPr>
          <w:rFonts w:ascii="Calibri" w:eastAsia="Calibri" w:hAnsi="Calibri" w:cs="Times New Roman"/>
          <w:color w:val="auto"/>
          <w:sz w:val="22"/>
          <w:szCs w:val="22"/>
        </w:rPr>
        <w:t xml:space="preserve">bij de </w:t>
      </w:r>
      <w:proofErr w:type="spellStart"/>
      <w:r>
        <w:rPr>
          <w:rFonts w:ascii="Calibri" w:eastAsia="Calibri" w:hAnsi="Calibri" w:cs="Times New Roman"/>
          <w:color w:val="auto"/>
          <w:sz w:val="22"/>
          <w:szCs w:val="22"/>
        </w:rPr>
        <w:t>oob’s</w:t>
      </w:r>
      <w:proofErr w:type="spellEnd"/>
      <w:r>
        <w:rPr>
          <w:rFonts w:ascii="Calibri" w:eastAsia="Calibri" w:hAnsi="Calibri" w:cs="Times New Roman"/>
          <w:color w:val="auto"/>
          <w:sz w:val="22"/>
          <w:szCs w:val="22"/>
        </w:rPr>
        <w:t xml:space="preserve"> </w:t>
      </w:r>
      <w:r w:rsidRPr="00ED0E0E">
        <w:rPr>
          <w:rFonts w:ascii="Calibri" w:eastAsia="Calibri" w:hAnsi="Calibri" w:cs="Times New Roman"/>
          <w:color w:val="auto"/>
          <w:sz w:val="22"/>
          <w:szCs w:val="22"/>
        </w:rPr>
        <w:t>geleid tot meer en betere fraudediscussies in</w:t>
      </w:r>
      <w:r>
        <w:rPr>
          <w:rFonts w:ascii="Calibri" w:eastAsia="Calibri" w:hAnsi="Calibri" w:cs="Times New Roman"/>
          <w:color w:val="auto"/>
          <w:sz w:val="22"/>
          <w:szCs w:val="22"/>
        </w:rPr>
        <w:t xml:space="preserve"> </w:t>
      </w:r>
      <w:r w:rsidRPr="00ED0E0E">
        <w:rPr>
          <w:rFonts w:ascii="Calibri" w:eastAsia="Calibri" w:hAnsi="Calibri" w:cs="Times New Roman"/>
          <w:color w:val="auto"/>
          <w:sz w:val="22"/>
          <w:szCs w:val="22"/>
        </w:rPr>
        <w:t>het controleteam en meer en goede gesprekken tussen accountant en cliënt over</w:t>
      </w:r>
      <w:r>
        <w:rPr>
          <w:rFonts w:ascii="Calibri" w:eastAsia="Calibri" w:hAnsi="Calibri" w:cs="Times New Roman"/>
          <w:color w:val="auto"/>
          <w:sz w:val="22"/>
          <w:szCs w:val="22"/>
        </w:rPr>
        <w:t xml:space="preserve"> </w:t>
      </w:r>
      <w:r w:rsidRPr="00ED0E0E">
        <w:rPr>
          <w:rFonts w:ascii="Calibri" w:eastAsia="Calibri" w:hAnsi="Calibri" w:cs="Times New Roman"/>
          <w:color w:val="auto"/>
          <w:sz w:val="22"/>
          <w:szCs w:val="22"/>
        </w:rPr>
        <w:t>frauderisico’s en de beheersing hiervan door de gecontroleerde entiteiten. De</w:t>
      </w:r>
      <w:r>
        <w:rPr>
          <w:rFonts w:ascii="Calibri" w:eastAsia="Calibri" w:hAnsi="Calibri" w:cs="Times New Roman"/>
          <w:color w:val="auto"/>
          <w:sz w:val="22"/>
          <w:szCs w:val="22"/>
        </w:rPr>
        <w:t xml:space="preserve"> </w:t>
      </w:r>
      <w:r w:rsidRPr="00ED0E0E">
        <w:rPr>
          <w:rFonts w:ascii="Calibri" w:eastAsia="Calibri" w:hAnsi="Calibri" w:cs="Times New Roman"/>
          <w:color w:val="auto"/>
          <w:sz w:val="22"/>
          <w:szCs w:val="22"/>
        </w:rPr>
        <w:t>aandacht voor fraude is hierdoor toegenomen, zowel bij de gecontroleerde entiteiten</w:t>
      </w:r>
      <w:r>
        <w:rPr>
          <w:rFonts w:ascii="Calibri" w:eastAsia="Calibri" w:hAnsi="Calibri" w:cs="Times New Roman"/>
          <w:color w:val="auto"/>
          <w:sz w:val="22"/>
          <w:szCs w:val="22"/>
        </w:rPr>
        <w:t xml:space="preserve"> </w:t>
      </w:r>
      <w:r w:rsidRPr="00ED0E0E">
        <w:rPr>
          <w:rFonts w:ascii="Calibri" w:eastAsia="Calibri" w:hAnsi="Calibri" w:cs="Times New Roman"/>
          <w:color w:val="auto"/>
          <w:sz w:val="22"/>
          <w:szCs w:val="22"/>
        </w:rPr>
        <w:t xml:space="preserve">als de accountant. </w:t>
      </w:r>
      <w:r w:rsidRPr="00792642">
        <w:rPr>
          <w:rFonts w:ascii="Calibri" w:eastAsia="Calibri" w:hAnsi="Calibri" w:cs="Times New Roman"/>
          <w:color w:val="auto"/>
          <w:sz w:val="22"/>
          <w:szCs w:val="22"/>
        </w:rPr>
        <w:t xml:space="preserve">De verplichte rapportering heeft daarmee positief bijgedragen aan de doelstelling van het NBA bestuur dat het rapporteren over fraude zou leiden tot expliciete discussies </w:t>
      </w:r>
      <w:r w:rsidRPr="00792642">
        <w:rPr>
          <w:rFonts w:ascii="f1k1ujbb-14gi-eay-1kwo6vgaau9pf" w:hAnsi="f1k1ujbb-14gi-eay-1kwo6vgaau9pf" w:cs="f1k1ujbb-14gi-eay-1kwo6vgaau9pf"/>
          <w:sz w:val="21"/>
          <w:szCs w:val="21"/>
        </w:rPr>
        <w:t xml:space="preserve">met de gecontroleerde en de desbetreffende toezichthouders (RvC/RvT) over frauderisicofactoren. </w:t>
      </w:r>
    </w:p>
    <w:p w14:paraId="70D0CD86" w14:textId="77777777" w:rsidR="00D80E2D" w:rsidRDefault="00D80E2D" w:rsidP="00D578E6">
      <w:pPr>
        <w:pStyle w:val="Default"/>
        <w:rPr>
          <w:rFonts w:ascii="f1k1ujbb-14gi-eay-1kwo6vgaau9pf" w:hAnsi="f1k1ujbb-14gi-eay-1kwo6vgaau9pf" w:cs="f1k1ujbb-14gi-eay-1kwo6vgaau9pf"/>
          <w:sz w:val="21"/>
          <w:szCs w:val="21"/>
        </w:rPr>
      </w:pPr>
    </w:p>
    <w:p w14:paraId="156973CF" w14:textId="77777777" w:rsidR="00D80E2D" w:rsidRDefault="00D80E2D" w:rsidP="00D578E6">
      <w:pPr>
        <w:pStyle w:val="Default"/>
        <w:rPr>
          <w:rFonts w:ascii="Calibri" w:eastAsia="Calibri" w:hAnsi="Calibri" w:cs="Times New Roman"/>
          <w:color w:val="auto"/>
          <w:sz w:val="22"/>
          <w:szCs w:val="22"/>
        </w:rPr>
      </w:pPr>
      <w:r>
        <w:rPr>
          <w:rFonts w:ascii="f1k1ujbb-14gi-eay-1kwo6vgaau9pf" w:hAnsi="f1k1ujbb-14gi-eay-1kwo6vgaau9pf" w:cs="f1k1ujbb-14gi-eay-1kwo6vgaau9pf"/>
          <w:sz w:val="21"/>
          <w:szCs w:val="21"/>
        </w:rPr>
        <w:t xml:space="preserve">De verplichte rapportering heeft ook positief bijgedragen aan het tastbaar maken van wat je van een accountant mag verwachten bij </w:t>
      </w:r>
      <w:proofErr w:type="spellStart"/>
      <w:r>
        <w:rPr>
          <w:rFonts w:ascii="f1k1ujbb-14gi-eay-1kwo6vgaau9pf" w:hAnsi="f1k1ujbb-14gi-eay-1kwo6vgaau9pf" w:cs="f1k1ujbb-14gi-eay-1kwo6vgaau9pf"/>
          <w:sz w:val="21"/>
          <w:szCs w:val="21"/>
        </w:rPr>
        <w:t>oob’s</w:t>
      </w:r>
      <w:proofErr w:type="spellEnd"/>
      <w:r>
        <w:rPr>
          <w:rFonts w:ascii="f1k1ujbb-14gi-eay-1kwo6vgaau9pf" w:hAnsi="f1k1ujbb-14gi-eay-1kwo6vgaau9pf" w:cs="f1k1ujbb-14gi-eay-1kwo6vgaau9pf"/>
          <w:sz w:val="21"/>
          <w:szCs w:val="21"/>
        </w:rPr>
        <w:t xml:space="preserve">. Accountants rapporteren in meer en mindere mate uitgebreid over frauderisico’s en de verrichte werkzaamheden. Wel blijkt uit de NBA </w:t>
      </w:r>
      <w:r>
        <w:rPr>
          <w:rFonts w:ascii="Calibri" w:eastAsia="Calibri" w:hAnsi="Calibri" w:cs="Times New Roman"/>
          <w:color w:val="auto"/>
          <w:sz w:val="22"/>
          <w:szCs w:val="22"/>
        </w:rPr>
        <w:t xml:space="preserve">evaluatie uit 2022 dat </w:t>
      </w:r>
      <w:proofErr w:type="spellStart"/>
      <w:r w:rsidRPr="00ED0E0E">
        <w:rPr>
          <w:rFonts w:ascii="Calibri" w:eastAsia="Calibri" w:hAnsi="Calibri" w:cs="Times New Roman"/>
          <w:color w:val="auto"/>
          <w:sz w:val="22"/>
          <w:szCs w:val="22"/>
        </w:rPr>
        <w:t>oob</w:t>
      </w:r>
      <w:proofErr w:type="spellEnd"/>
      <w:r w:rsidRPr="00ED0E0E">
        <w:rPr>
          <w:rFonts w:ascii="Calibri" w:eastAsia="Calibri" w:hAnsi="Calibri" w:cs="Times New Roman"/>
          <w:color w:val="auto"/>
          <w:sz w:val="22"/>
          <w:szCs w:val="22"/>
        </w:rPr>
        <w:t xml:space="preserve">-accountants beperkt </w:t>
      </w:r>
      <w:r>
        <w:rPr>
          <w:rFonts w:ascii="Calibri" w:eastAsia="Calibri" w:hAnsi="Calibri" w:cs="Times New Roman"/>
          <w:color w:val="auto"/>
          <w:sz w:val="22"/>
          <w:szCs w:val="22"/>
        </w:rPr>
        <w:t>rapporteren</w:t>
      </w:r>
      <w:r w:rsidRPr="00ED0E0E">
        <w:rPr>
          <w:rFonts w:ascii="Calibri" w:eastAsia="Calibri" w:hAnsi="Calibri" w:cs="Times New Roman"/>
          <w:color w:val="auto"/>
          <w:sz w:val="22"/>
          <w:szCs w:val="22"/>
        </w:rPr>
        <w:t xml:space="preserve"> over</w:t>
      </w:r>
      <w:r>
        <w:rPr>
          <w:rFonts w:ascii="Calibri" w:eastAsia="Calibri" w:hAnsi="Calibri" w:cs="Times New Roman"/>
          <w:color w:val="auto"/>
          <w:sz w:val="22"/>
          <w:szCs w:val="22"/>
        </w:rPr>
        <w:t xml:space="preserve"> </w:t>
      </w:r>
      <w:r w:rsidRPr="00ED0E0E">
        <w:rPr>
          <w:rFonts w:ascii="Calibri" w:eastAsia="Calibri" w:hAnsi="Calibri" w:cs="Times New Roman"/>
          <w:color w:val="auto"/>
          <w:sz w:val="22"/>
          <w:szCs w:val="22"/>
        </w:rPr>
        <w:t>uitkomsten van de controle en waarnemingen naar aanleiding van vermoede fraude.</w:t>
      </w:r>
      <w:r>
        <w:rPr>
          <w:rFonts w:ascii="Calibri" w:eastAsia="Calibri" w:hAnsi="Calibri" w:cs="Times New Roman"/>
          <w:color w:val="auto"/>
          <w:sz w:val="22"/>
          <w:szCs w:val="22"/>
        </w:rPr>
        <w:t xml:space="preserve"> In </w:t>
      </w:r>
      <w:r w:rsidRPr="00CE365A">
        <w:rPr>
          <w:rFonts w:ascii="Calibri" w:eastAsia="Calibri" w:hAnsi="Calibri" w:cs="Times New Roman"/>
          <w:color w:val="auto"/>
          <w:sz w:val="22"/>
          <w:szCs w:val="22"/>
        </w:rPr>
        <w:t>nagenoeg alle fraude</w:t>
      </w:r>
      <w:r>
        <w:rPr>
          <w:rFonts w:ascii="Calibri" w:eastAsia="Calibri" w:hAnsi="Calibri" w:cs="Times New Roman"/>
          <w:color w:val="auto"/>
          <w:sz w:val="22"/>
          <w:szCs w:val="22"/>
        </w:rPr>
        <w:t>-</w:t>
      </w:r>
      <w:r w:rsidRPr="00CE365A">
        <w:rPr>
          <w:rFonts w:ascii="Calibri" w:eastAsia="Calibri" w:hAnsi="Calibri" w:cs="Times New Roman"/>
          <w:color w:val="auto"/>
          <w:sz w:val="22"/>
          <w:szCs w:val="22"/>
        </w:rPr>
        <w:t xml:space="preserve">secties </w:t>
      </w:r>
      <w:r>
        <w:rPr>
          <w:rFonts w:ascii="Calibri" w:eastAsia="Calibri" w:hAnsi="Calibri" w:cs="Times New Roman"/>
          <w:color w:val="auto"/>
          <w:sz w:val="22"/>
          <w:szCs w:val="22"/>
        </w:rPr>
        <w:t xml:space="preserve">is wel </w:t>
      </w:r>
      <w:r w:rsidRPr="00CE365A">
        <w:rPr>
          <w:rFonts w:ascii="Calibri" w:eastAsia="Calibri" w:hAnsi="Calibri" w:cs="Times New Roman"/>
          <w:color w:val="auto"/>
          <w:sz w:val="22"/>
          <w:szCs w:val="22"/>
        </w:rPr>
        <w:t>een zogenaamde overall uitkomst gerapporteerd,</w:t>
      </w:r>
      <w:r>
        <w:rPr>
          <w:rFonts w:ascii="Calibri" w:eastAsia="Calibri" w:hAnsi="Calibri" w:cs="Times New Roman"/>
          <w:color w:val="auto"/>
          <w:sz w:val="22"/>
          <w:szCs w:val="22"/>
        </w:rPr>
        <w:t xml:space="preserve"> </w:t>
      </w:r>
      <w:r w:rsidRPr="00CE365A">
        <w:rPr>
          <w:rFonts w:ascii="Calibri" w:eastAsia="Calibri" w:hAnsi="Calibri" w:cs="Times New Roman"/>
          <w:color w:val="auto"/>
          <w:sz w:val="22"/>
          <w:szCs w:val="22"/>
        </w:rPr>
        <w:t>in termen dat de controle niet heeft geleid tot aanwijzingen voor fraude die tot</w:t>
      </w:r>
      <w:r>
        <w:rPr>
          <w:rFonts w:ascii="Calibri" w:eastAsia="Calibri" w:hAnsi="Calibri" w:cs="Times New Roman"/>
          <w:color w:val="auto"/>
          <w:sz w:val="22"/>
          <w:szCs w:val="22"/>
        </w:rPr>
        <w:t xml:space="preserve"> </w:t>
      </w:r>
      <w:r w:rsidRPr="00CE365A">
        <w:rPr>
          <w:rFonts w:ascii="Calibri" w:eastAsia="Calibri" w:hAnsi="Calibri" w:cs="Times New Roman"/>
          <w:color w:val="auto"/>
          <w:sz w:val="22"/>
          <w:szCs w:val="22"/>
        </w:rPr>
        <w:t>materiële onjuistheden in de jaarrekening zou kunnen leiden. Geheimhouding en vertrouwelijkheid worden door accountants als belangrijke</w:t>
      </w:r>
      <w:r>
        <w:rPr>
          <w:rFonts w:ascii="Calibri" w:eastAsia="Calibri" w:hAnsi="Calibri" w:cs="Times New Roman"/>
          <w:color w:val="auto"/>
          <w:sz w:val="22"/>
          <w:szCs w:val="22"/>
        </w:rPr>
        <w:t xml:space="preserve"> </w:t>
      </w:r>
      <w:r w:rsidRPr="00CE365A">
        <w:rPr>
          <w:rFonts w:ascii="Calibri" w:eastAsia="Calibri" w:hAnsi="Calibri" w:cs="Times New Roman"/>
          <w:color w:val="auto"/>
          <w:sz w:val="22"/>
          <w:szCs w:val="22"/>
        </w:rPr>
        <w:t>belemmering voor transparant rapporteren benoemd</w:t>
      </w:r>
      <w:r>
        <w:rPr>
          <w:rFonts w:ascii="Calibri" w:eastAsia="Calibri" w:hAnsi="Calibri" w:cs="Times New Roman"/>
          <w:color w:val="auto"/>
          <w:sz w:val="22"/>
          <w:szCs w:val="22"/>
        </w:rPr>
        <w:t xml:space="preserve"> alsook dat </w:t>
      </w:r>
      <w:r w:rsidRPr="00CE365A">
        <w:rPr>
          <w:rFonts w:ascii="Calibri" w:eastAsia="Calibri" w:hAnsi="Calibri" w:cs="Times New Roman"/>
          <w:color w:val="auto"/>
          <w:sz w:val="22"/>
          <w:szCs w:val="22"/>
        </w:rPr>
        <w:t>accountants verplicht rapporteren over frauderisico's en werkzaamheden</w:t>
      </w:r>
      <w:r>
        <w:rPr>
          <w:rFonts w:ascii="Calibri" w:eastAsia="Calibri" w:hAnsi="Calibri" w:cs="Times New Roman"/>
          <w:color w:val="auto"/>
          <w:sz w:val="22"/>
          <w:szCs w:val="22"/>
        </w:rPr>
        <w:t xml:space="preserve"> </w:t>
      </w:r>
      <w:r w:rsidRPr="00CE365A">
        <w:rPr>
          <w:rFonts w:ascii="Calibri" w:eastAsia="Calibri" w:hAnsi="Calibri" w:cs="Times New Roman"/>
          <w:color w:val="auto"/>
          <w:sz w:val="22"/>
          <w:szCs w:val="22"/>
        </w:rPr>
        <w:t>(waarbij het rapporteren over uitkomsten wordt aangemoedigd), terwijl de</w:t>
      </w:r>
      <w:r>
        <w:rPr>
          <w:rFonts w:ascii="Calibri" w:eastAsia="Calibri" w:hAnsi="Calibri" w:cs="Times New Roman"/>
          <w:color w:val="auto"/>
          <w:sz w:val="22"/>
          <w:szCs w:val="22"/>
        </w:rPr>
        <w:t xml:space="preserve"> </w:t>
      </w:r>
      <w:r w:rsidRPr="00CE365A">
        <w:rPr>
          <w:rFonts w:ascii="Calibri" w:eastAsia="Calibri" w:hAnsi="Calibri" w:cs="Times New Roman"/>
          <w:color w:val="auto"/>
          <w:sz w:val="22"/>
          <w:szCs w:val="22"/>
        </w:rPr>
        <w:t xml:space="preserve">gecontroleerde entiteit nog geen rapportageplicht kent. </w:t>
      </w:r>
    </w:p>
    <w:p w14:paraId="098C95DB" w14:textId="77777777" w:rsidR="00D80E2D" w:rsidRDefault="00D80E2D" w:rsidP="00D578E6">
      <w:pPr>
        <w:pStyle w:val="Default"/>
        <w:rPr>
          <w:rFonts w:ascii="Calibri" w:eastAsia="Calibri" w:hAnsi="Calibri" w:cs="Times New Roman"/>
          <w:color w:val="auto"/>
          <w:sz w:val="22"/>
          <w:szCs w:val="22"/>
        </w:rPr>
      </w:pPr>
    </w:p>
    <w:p w14:paraId="715DBB3D" w14:textId="77777777" w:rsidR="00D80E2D" w:rsidRDefault="00D80E2D" w:rsidP="00D578E6">
      <w:pPr>
        <w:pStyle w:val="Default"/>
        <w:rPr>
          <w:rFonts w:ascii="Calibri" w:eastAsia="Calibri" w:hAnsi="Calibri" w:cs="Times New Roman"/>
          <w:color w:val="auto"/>
          <w:sz w:val="22"/>
          <w:szCs w:val="22"/>
        </w:rPr>
      </w:pPr>
      <w:r>
        <w:rPr>
          <w:rFonts w:ascii="Calibri" w:eastAsia="Calibri" w:hAnsi="Calibri" w:cs="Times New Roman"/>
          <w:color w:val="auto"/>
          <w:sz w:val="22"/>
          <w:szCs w:val="22"/>
        </w:rPr>
        <w:t>De a</w:t>
      </w:r>
      <w:r w:rsidRPr="00BB4BF2">
        <w:rPr>
          <w:rFonts w:ascii="Calibri" w:eastAsia="Calibri" w:hAnsi="Calibri" w:cs="Times New Roman"/>
          <w:color w:val="auto"/>
          <w:sz w:val="22"/>
          <w:szCs w:val="22"/>
        </w:rPr>
        <w:t xml:space="preserve">fstemming met gebruikers van de controleverklaringen </w:t>
      </w:r>
      <w:r>
        <w:rPr>
          <w:rFonts w:ascii="Calibri" w:eastAsia="Calibri" w:hAnsi="Calibri" w:cs="Times New Roman"/>
          <w:color w:val="auto"/>
          <w:sz w:val="22"/>
          <w:szCs w:val="22"/>
        </w:rPr>
        <w:t xml:space="preserve">2021 heeft </w:t>
      </w:r>
      <w:r w:rsidRPr="00BB4BF2">
        <w:rPr>
          <w:rFonts w:ascii="Calibri" w:eastAsia="Calibri" w:hAnsi="Calibri" w:cs="Times New Roman"/>
          <w:color w:val="auto"/>
          <w:sz w:val="22"/>
          <w:szCs w:val="22"/>
        </w:rPr>
        <w:t>belangrijke</w:t>
      </w:r>
      <w:r>
        <w:rPr>
          <w:rFonts w:ascii="Calibri" w:eastAsia="Calibri" w:hAnsi="Calibri" w:cs="Times New Roman"/>
          <w:color w:val="auto"/>
          <w:sz w:val="22"/>
          <w:szCs w:val="22"/>
        </w:rPr>
        <w:t xml:space="preserve"> </w:t>
      </w:r>
      <w:r w:rsidRPr="00BB4BF2">
        <w:rPr>
          <w:rFonts w:ascii="Calibri" w:eastAsia="Calibri" w:hAnsi="Calibri" w:cs="Times New Roman"/>
          <w:color w:val="auto"/>
          <w:sz w:val="22"/>
          <w:szCs w:val="22"/>
        </w:rPr>
        <w:t>aanwijzingen op</w:t>
      </w:r>
      <w:r>
        <w:rPr>
          <w:rFonts w:ascii="Calibri" w:eastAsia="Calibri" w:hAnsi="Calibri" w:cs="Times New Roman"/>
          <w:color w:val="auto"/>
          <w:sz w:val="22"/>
          <w:szCs w:val="22"/>
        </w:rPr>
        <w:t>geleverd</w:t>
      </w:r>
      <w:r w:rsidRPr="00BB4BF2">
        <w:rPr>
          <w:rFonts w:ascii="Calibri" w:eastAsia="Calibri" w:hAnsi="Calibri" w:cs="Times New Roman"/>
          <w:color w:val="auto"/>
          <w:sz w:val="22"/>
          <w:szCs w:val="22"/>
        </w:rPr>
        <w:t xml:space="preserve"> voor bestuurders en toezichthouders van entiteiten om hun</w:t>
      </w:r>
      <w:r>
        <w:rPr>
          <w:rFonts w:ascii="Calibri" w:eastAsia="Calibri" w:hAnsi="Calibri" w:cs="Times New Roman"/>
          <w:color w:val="auto"/>
          <w:sz w:val="22"/>
          <w:szCs w:val="22"/>
        </w:rPr>
        <w:t xml:space="preserve"> </w:t>
      </w:r>
      <w:r w:rsidRPr="00BB4BF2">
        <w:rPr>
          <w:rFonts w:ascii="Calibri" w:eastAsia="Calibri" w:hAnsi="Calibri" w:cs="Times New Roman"/>
          <w:color w:val="auto"/>
          <w:sz w:val="22"/>
          <w:szCs w:val="22"/>
        </w:rPr>
        <w:t xml:space="preserve">verantwoordelijkheid te nemen en </w:t>
      </w:r>
      <w:r>
        <w:rPr>
          <w:rFonts w:ascii="Calibri" w:eastAsia="Calibri" w:hAnsi="Calibri" w:cs="Times New Roman"/>
          <w:color w:val="auto"/>
          <w:sz w:val="22"/>
          <w:szCs w:val="22"/>
        </w:rPr>
        <w:t xml:space="preserve">vooral zelf </w:t>
      </w:r>
      <w:r w:rsidRPr="00BB4BF2">
        <w:rPr>
          <w:rFonts w:ascii="Calibri" w:eastAsia="Calibri" w:hAnsi="Calibri" w:cs="Times New Roman"/>
          <w:color w:val="auto"/>
          <w:sz w:val="22"/>
          <w:szCs w:val="22"/>
        </w:rPr>
        <w:t xml:space="preserve">transparanter in </w:t>
      </w:r>
      <w:proofErr w:type="spellStart"/>
      <w:r w:rsidRPr="00BB4BF2">
        <w:rPr>
          <w:rFonts w:ascii="Calibri" w:eastAsia="Calibri" w:hAnsi="Calibri" w:cs="Times New Roman"/>
          <w:color w:val="auto"/>
          <w:sz w:val="22"/>
          <w:szCs w:val="22"/>
        </w:rPr>
        <w:t>bestuursverslagen</w:t>
      </w:r>
      <w:proofErr w:type="spellEnd"/>
      <w:r w:rsidRPr="00BB4BF2">
        <w:rPr>
          <w:rFonts w:ascii="Calibri" w:eastAsia="Calibri" w:hAnsi="Calibri" w:cs="Times New Roman"/>
          <w:color w:val="auto"/>
          <w:sz w:val="22"/>
          <w:szCs w:val="22"/>
        </w:rPr>
        <w:t xml:space="preserve"> en</w:t>
      </w:r>
      <w:r>
        <w:rPr>
          <w:rFonts w:ascii="Calibri" w:eastAsia="Calibri" w:hAnsi="Calibri" w:cs="Times New Roman"/>
          <w:color w:val="auto"/>
          <w:sz w:val="22"/>
          <w:szCs w:val="22"/>
        </w:rPr>
        <w:t xml:space="preserve"> </w:t>
      </w:r>
      <w:r w:rsidRPr="00BB4BF2">
        <w:rPr>
          <w:rFonts w:ascii="Calibri" w:eastAsia="Calibri" w:hAnsi="Calibri" w:cs="Times New Roman"/>
          <w:color w:val="auto"/>
          <w:sz w:val="22"/>
          <w:szCs w:val="22"/>
        </w:rPr>
        <w:t xml:space="preserve">jaarrekeningen te rapporteren over beheersmaatregelen in reactie op </w:t>
      </w:r>
      <w:r>
        <w:rPr>
          <w:rFonts w:ascii="Calibri" w:eastAsia="Calibri" w:hAnsi="Calibri" w:cs="Times New Roman"/>
          <w:color w:val="auto"/>
          <w:sz w:val="22"/>
          <w:szCs w:val="22"/>
        </w:rPr>
        <w:t xml:space="preserve">de </w:t>
      </w:r>
      <w:r w:rsidRPr="00BB4BF2">
        <w:rPr>
          <w:rFonts w:ascii="Calibri" w:eastAsia="Calibri" w:hAnsi="Calibri" w:cs="Times New Roman"/>
          <w:color w:val="auto"/>
          <w:sz w:val="22"/>
          <w:szCs w:val="22"/>
        </w:rPr>
        <w:t>frauderisico</w:t>
      </w:r>
      <w:r>
        <w:rPr>
          <w:rFonts w:ascii="Calibri" w:eastAsia="Calibri" w:hAnsi="Calibri" w:cs="Times New Roman"/>
          <w:color w:val="auto"/>
          <w:sz w:val="22"/>
          <w:szCs w:val="22"/>
        </w:rPr>
        <w:t>’</w:t>
      </w:r>
      <w:r w:rsidRPr="00BB4BF2">
        <w:rPr>
          <w:rFonts w:ascii="Calibri" w:eastAsia="Calibri" w:hAnsi="Calibri" w:cs="Times New Roman"/>
          <w:color w:val="auto"/>
          <w:sz w:val="22"/>
          <w:szCs w:val="22"/>
        </w:rPr>
        <w:t>s en</w:t>
      </w:r>
      <w:r>
        <w:rPr>
          <w:rFonts w:ascii="Calibri" w:eastAsia="Calibri" w:hAnsi="Calibri" w:cs="Times New Roman"/>
          <w:color w:val="auto"/>
          <w:sz w:val="22"/>
          <w:szCs w:val="22"/>
        </w:rPr>
        <w:t xml:space="preserve"> </w:t>
      </w:r>
      <w:r w:rsidRPr="00BB4BF2">
        <w:rPr>
          <w:rFonts w:ascii="Calibri" w:eastAsia="Calibri" w:hAnsi="Calibri" w:cs="Times New Roman"/>
          <w:color w:val="auto"/>
          <w:sz w:val="22"/>
          <w:szCs w:val="22"/>
        </w:rPr>
        <w:t>vermoede fraude in de controleverklaring.</w:t>
      </w:r>
      <w:r>
        <w:rPr>
          <w:rFonts w:ascii="Calibri" w:eastAsia="Calibri" w:hAnsi="Calibri" w:cs="Times New Roman"/>
          <w:color w:val="auto"/>
          <w:sz w:val="22"/>
          <w:szCs w:val="22"/>
        </w:rPr>
        <w:t xml:space="preserve"> Door deze reactie wordt ook de opvolging door de entiteit transparant voor het maatschappelijk verkeer.  De verklaring omtrent risicobeheersing zal naar verwachting een positieve stimulans geven aan het beheersen van en rapporteren over frauderisico’s door entiteiten. </w:t>
      </w:r>
    </w:p>
    <w:p w14:paraId="33E4F458" w14:textId="77777777" w:rsidR="00D80E2D" w:rsidRDefault="00D80E2D" w:rsidP="00D578E6">
      <w:pPr>
        <w:pStyle w:val="Default"/>
        <w:rPr>
          <w:rFonts w:ascii="Calibri" w:eastAsia="Calibri" w:hAnsi="Calibri" w:cs="Times New Roman"/>
          <w:color w:val="auto"/>
          <w:sz w:val="22"/>
          <w:szCs w:val="22"/>
        </w:rPr>
      </w:pPr>
    </w:p>
    <w:p w14:paraId="717E9E12" w14:textId="0B432226" w:rsidR="00BB60BC" w:rsidRDefault="00D80E2D" w:rsidP="00D578E6">
      <w:pPr>
        <w:pStyle w:val="Default"/>
        <w:rPr>
          <w:rFonts w:ascii="Calibri" w:eastAsia="Calibri" w:hAnsi="Calibri" w:cs="Times New Roman"/>
          <w:color w:val="auto"/>
          <w:sz w:val="22"/>
          <w:szCs w:val="22"/>
        </w:rPr>
      </w:pPr>
      <w:r>
        <w:rPr>
          <w:rFonts w:ascii="Calibri" w:eastAsia="Calibri" w:hAnsi="Calibri" w:cs="Times New Roman"/>
          <w:color w:val="auto"/>
          <w:sz w:val="22"/>
          <w:szCs w:val="22"/>
        </w:rPr>
        <w:t xml:space="preserve">Op basis van de NBA evaluatie 2021 heeft het NBA bestuur besloten dat verplichte rapportering van uitkomsten, waarnemingen en observaties nog te voorbarig is. Het NBA bestuur moedigt accountants aan om in controleverklaringen 2022 transpanter te rapporteren over uitkomsten, waarnemingen en observaties. </w:t>
      </w:r>
      <w:r w:rsidR="00BB60BC">
        <w:rPr>
          <w:rFonts w:ascii="Calibri" w:eastAsia="Calibri" w:hAnsi="Calibri" w:cs="Times New Roman"/>
          <w:color w:val="auto"/>
          <w:sz w:val="22"/>
          <w:szCs w:val="22"/>
        </w:rPr>
        <w:br w:type="page"/>
      </w:r>
    </w:p>
    <w:p w14:paraId="5781CD98" w14:textId="589BA417" w:rsidR="004457E5" w:rsidRDefault="004457E5" w:rsidP="00D578E6">
      <w:pPr>
        <w:pStyle w:val="Default"/>
        <w:rPr>
          <w:rFonts w:ascii="Calibri" w:eastAsia="Calibri" w:hAnsi="Calibri" w:cs="Times New Roman"/>
          <w:b/>
          <w:bCs/>
          <w:color w:val="auto"/>
          <w:sz w:val="22"/>
          <w:szCs w:val="22"/>
        </w:rPr>
      </w:pPr>
      <w:r w:rsidRPr="004457E5">
        <w:rPr>
          <w:rFonts w:ascii="Calibri" w:eastAsia="Calibri" w:hAnsi="Calibri" w:cs="Times New Roman"/>
          <w:b/>
          <w:bCs/>
          <w:color w:val="auto"/>
          <w:sz w:val="22"/>
          <w:szCs w:val="22"/>
        </w:rPr>
        <w:lastRenderedPageBreak/>
        <w:t>2023:</w:t>
      </w:r>
      <w:r w:rsidR="00DA2891" w:rsidRPr="004457E5">
        <w:rPr>
          <w:rFonts w:ascii="Calibri" w:eastAsia="Calibri" w:hAnsi="Calibri" w:cs="Times New Roman"/>
          <w:b/>
          <w:bCs/>
          <w:color w:val="auto"/>
          <w:sz w:val="22"/>
          <w:szCs w:val="22"/>
        </w:rPr>
        <w:t xml:space="preserve"> </w:t>
      </w:r>
      <w:r w:rsidRPr="004457E5">
        <w:rPr>
          <w:rFonts w:ascii="Calibri" w:eastAsia="Calibri" w:hAnsi="Calibri" w:cs="Times New Roman"/>
          <w:b/>
          <w:bCs/>
          <w:color w:val="auto"/>
          <w:sz w:val="22"/>
          <w:szCs w:val="22"/>
        </w:rPr>
        <w:t>NBA Onderzoek geheimhouding 2023</w:t>
      </w:r>
    </w:p>
    <w:p w14:paraId="5864E625" w14:textId="7235BEED" w:rsidR="004457E5" w:rsidRDefault="004457E5" w:rsidP="00D578E6">
      <w:pPr>
        <w:pStyle w:val="Geenafstand"/>
        <w:rPr>
          <w:rFonts w:ascii="Arial" w:hAnsi="Arial" w:cs="Arial"/>
          <w:color w:val="212121"/>
          <w:sz w:val="21"/>
          <w:szCs w:val="21"/>
          <w:bdr w:val="none" w:sz="0" w:space="0" w:color="auto" w:frame="1"/>
        </w:rPr>
      </w:pPr>
      <w:r>
        <w:t xml:space="preserve">In 2023 heeft het NBA bestuur een onderzoek laten uitvoeren naar geheimhouding, mede omdat vanuit de </w:t>
      </w:r>
      <w:r w:rsidRPr="00DD4ED7">
        <w:t xml:space="preserve">maatschappij de roep om transparantie van accountants </w:t>
      </w:r>
      <w:r>
        <w:t>steeds luider klinkt. E</w:t>
      </w:r>
      <w:r w:rsidRPr="00DD4ED7">
        <w:t xml:space="preserve">en deel van de belanghebbenden bij de uitkomsten van accountantscontroles </w:t>
      </w:r>
      <w:r>
        <w:t>ziet graag</w:t>
      </w:r>
      <w:r w:rsidRPr="00DD4ED7">
        <w:t xml:space="preserve"> dat accountants opener zijn over wat zij aantreffen bij door hen gecontroleerde entiteiten. Tegelijkertijd moeten accountants de geheimhoudingsregels naleven die voortvloeien uit de Europese en Nederlandse wetgeving en de eigen beroepsregels.</w:t>
      </w:r>
      <w:r>
        <w:t xml:space="preserve"> Naar aanleiding van het NBA onderzoek is eind 2023 een</w:t>
      </w:r>
      <w:r w:rsidRPr="00DD4ED7">
        <w:t xml:space="preserve"> </w:t>
      </w:r>
      <w:r w:rsidRPr="007F7122">
        <w:rPr>
          <w:rFonts w:asciiTheme="minorHAnsi" w:hAnsiTheme="minorHAnsi" w:cstheme="minorHAnsi"/>
        </w:rPr>
        <w:t>consultatiedocument</w:t>
      </w:r>
      <w:r w:rsidRPr="007F7122">
        <w:rPr>
          <w:rFonts w:asciiTheme="minorHAnsi" w:hAnsiTheme="minorHAnsi" w:cstheme="minorHAnsi"/>
          <w:color w:val="212121"/>
          <w:bdr w:val="none" w:sz="0" w:space="0" w:color="auto" w:frame="1"/>
        </w:rPr>
        <w:t xml:space="preserve"> “</w:t>
      </w:r>
      <w:hyperlink r:id="rId13" w:tgtFrame="_blank" w:history="1">
        <w:r w:rsidRPr="007F7122">
          <w:rPr>
            <w:rStyle w:val="Hyperlink"/>
            <w:rFonts w:asciiTheme="minorHAnsi" w:hAnsiTheme="minorHAnsi" w:cstheme="minorHAnsi"/>
            <w:bdr w:val="none" w:sz="0" w:space="0" w:color="auto" w:frame="1"/>
          </w:rPr>
          <w:t>Geheimhouding Ontrafeld: Discussienotitie over transparantie en geheimhouding van accountants</w:t>
        </w:r>
      </w:hyperlink>
      <w:r w:rsidRPr="007F7122">
        <w:rPr>
          <w:rFonts w:asciiTheme="minorHAnsi" w:hAnsiTheme="minorHAnsi" w:cstheme="minorHAnsi"/>
          <w:color w:val="212121"/>
          <w:bdr w:val="none" w:sz="0" w:space="0" w:color="auto" w:frame="1"/>
        </w:rPr>
        <w:t xml:space="preserve">” </w:t>
      </w:r>
      <w:r w:rsidRPr="007F7122">
        <w:t>opgesteld</w:t>
      </w:r>
      <w:r>
        <w:rPr>
          <w:rFonts w:ascii="Arial" w:hAnsi="Arial" w:cs="Arial"/>
          <w:color w:val="212121"/>
          <w:sz w:val="21"/>
          <w:szCs w:val="21"/>
          <w:bdr w:val="none" w:sz="0" w:space="0" w:color="auto" w:frame="1"/>
        </w:rPr>
        <w:t xml:space="preserve">. </w:t>
      </w:r>
    </w:p>
    <w:p w14:paraId="29B9CF1E" w14:textId="77777777" w:rsidR="004457E5" w:rsidRDefault="004457E5" w:rsidP="00D578E6">
      <w:pPr>
        <w:pStyle w:val="Default"/>
        <w:rPr>
          <w:rFonts w:ascii="Arial" w:hAnsi="Arial" w:cs="Arial"/>
          <w:color w:val="212121"/>
          <w:sz w:val="21"/>
          <w:szCs w:val="21"/>
          <w:bdr w:val="none" w:sz="0" w:space="0" w:color="auto" w:frame="1"/>
        </w:rPr>
      </w:pPr>
    </w:p>
    <w:p w14:paraId="6979B2F0" w14:textId="77777777" w:rsidR="00BB60BC" w:rsidRDefault="004457E5" w:rsidP="00D578E6">
      <w:pPr>
        <w:pStyle w:val="Geenafstand"/>
      </w:pPr>
      <w:r w:rsidRPr="007F7122">
        <w:t xml:space="preserve">De discussie over geheimhouding </w:t>
      </w:r>
      <w:r>
        <w:t xml:space="preserve">in het voorjaar 2024 afgerond met een NBA </w:t>
      </w:r>
      <w:proofErr w:type="spellStart"/>
      <w:r>
        <w:t>bestuursreactie</w:t>
      </w:r>
      <w:proofErr w:type="spellEnd"/>
      <w:r>
        <w:t>: d</w:t>
      </w:r>
      <w:r w:rsidRPr="007F6280">
        <w:t>e conclusie van het bestuur is onder meer dat de bestaande wet- en regelgeving voldoende ruimte biedt voor de accountant</w:t>
      </w:r>
      <w:r>
        <w:t xml:space="preserve">. </w:t>
      </w:r>
      <w:r w:rsidRPr="007F6280">
        <w:t>Het bestuur vraagt het College voor Beroepsreglementering (CB) om de overwegingen uit haar besluit mee te nemen in de evaluatie van Standaard 700. Ook vraagt het bestuur aan het CB te overwegen of de bestaande beroepsreglementering, met name de toelichtingen daarop, verder verduidelijkt kan worden. </w:t>
      </w:r>
    </w:p>
    <w:p w14:paraId="4789C32B" w14:textId="7CD29267" w:rsidR="00BB60BC" w:rsidRPr="00356CF4" w:rsidRDefault="00000000" w:rsidP="00D578E6">
      <w:pPr>
        <w:pStyle w:val="Geenafstand"/>
        <w:rPr>
          <w:rStyle w:val="Hyperlink"/>
          <w:color w:val="auto"/>
          <w:u w:val="none"/>
        </w:rPr>
      </w:pPr>
      <w:hyperlink r:id="rId14" w:history="1">
        <w:r w:rsidR="00BB60BC">
          <w:rPr>
            <w:rStyle w:val="Hyperlink"/>
          </w:rPr>
          <w:t>Besluit NBA-bestuur over transparantie en geheimhouding accountant</w:t>
        </w:r>
      </w:hyperlink>
    </w:p>
    <w:p w14:paraId="0B1131AD" w14:textId="77777777" w:rsidR="00BB60BC" w:rsidRDefault="00BB60BC" w:rsidP="00D578E6">
      <w:pPr>
        <w:pStyle w:val="Geenafstand"/>
        <w:rPr>
          <w:b/>
          <w:bCs/>
        </w:rPr>
      </w:pPr>
    </w:p>
    <w:p w14:paraId="29B927B2" w14:textId="2DAB604A" w:rsidR="004457E5" w:rsidRDefault="004457E5" w:rsidP="00D578E6">
      <w:pPr>
        <w:pStyle w:val="Default"/>
        <w:rPr>
          <w:rFonts w:ascii="Calibri" w:eastAsia="Calibri" w:hAnsi="Calibri" w:cs="Times New Roman"/>
          <w:color w:val="auto"/>
          <w:sz w:val="22"/>
          <w:szCs w:val="22"/>
        </w:rPr>
      </w:pPr>
    </w:p>
    <w:p w14:paraId="712BABBE" w14:textId="77777777" w:rsidR="00F305DF" w:rsidRDefault="00F305DF" w:rsidP="00D578E6">
      <w:pPr>
        <w:pStyle w:val="Default"/>
        <w:rPr>
          <w:rFonts w:ascii="Calibri" w:eastAsia="Calibri" w:hAnsi="Calibri" w:cs="Times New Roman"/>
          <w:color w:val="auto"/>
          <w:sz w:val="22"/>
          <w:szCs w:val="22"/>
        </w:rPr>
      </w:pPr>
      <w:r>
        <w:rPr>
          <w:rFonts w:ascii="Calibri" w:eastAsia="Calibri" w:hAnsi="Calibri" w:cs="Times New Roman"/>
          <w:color w:val="auto"/>
          <w:sz w:val="22"/>
          <w:szCs w:val="22"/>
        </w:rPr>
        <w:br w:type="page"/>
      </w:r>
    </w:p>
    <w:p w14:paraId="09AC8212" w14:textId="32B0711D" w:rsidR="00F305DF" w:rsidRPr="00F305DF" w:rsidRDefault="00F305DF" w:rsidP="00D578E6">
      <w:pPr>
        <w:pStyle w:val="Geenafstand"/>
        <w:rPr>
          <w:rFonts w:asciiTheme="minorHAnsi" w:hAnsiTheme="minorHAnsi" w:cstheme="minorHAnsi"/>
          <w:b/>
          <w:bCs/>
          <w:sz w:val="28"/>
          <w:szCs w:val="28"/>
        </w:rPr>
      </w:pPr>
      <w:r w:rsidRPr="00F305DF">
        <w:rPr>
          <w:rFonts w:asciiTheme="minorHAnsi" w:hAnsiTheme="minorHAnsi" w:cstheme="minorHAnsi"/>
          <w:b/>
          <w:bCs/>
          <w:sz w:val="28"/>
          <w:szCs w:val="28"/>
        </w:rPr>
        <w:lastRenderedPageBreak/>
        <w:t>Bijlage 2 NBA handreikingen en publicatie onderzoeken</w:t>
      </w:r>
      <w:r w:rsidR="00D754DE">
        <w:rPr>
          <w:rFonts w:asciiTheme="minorHAnsi" w:hAnsiTheme="minorHAnsi" w:cstheme="minorHAnsi"/>
          <w:b/>
          <w:bCs/>
          <w:sz w:val="28"/>
          <w:szCs w:val="28"/>
        </w:rPr>
        <w:t xml:space="preserve"> controleverklaringen </w:t>
      </w:r>
      <w:r w:rsidRPr="00F305DF">
        <w:rPr>
          <w:rFonts w:asciiTheme="minorHAnsi" w:hAnsiTheme="minorHAnsi" w:cstheme="minorHAnsi"/>
          <w:b/>
          <w:bCs/>
          <w:sz w:val="28"/>
          <w:szCs w:val="28"/>
        </w:rPr>
        <w:t xml:space="preserve"> 2022 en 2021</w:t>
      </w:r>
    </w:p>
    <w:p w14:paraId="284DD26C" w14:textId="77777777" w:rsidR="00F305DF" w:rsidRDefault="00F305DF" w:rsidP="00D578E6">
      <w:pPr>
        <w:pStyle w:val="Default"/>
        <w:rPr>
          <w:rFonts w:ascii="Calibri" w:eastAsia="Calibri" w:hAnsi="Calibri" w:cs="Times New Roman"/>
          <w:color w:val="auto"/>
          <w:sz w:val="22"/>
          <w:szCs w:val="22"/>
        </w:rPr>
      </w:pPr>
    </w:p>
    <w:p w14:paraId="3A06ABB4" w14:textId="3D482449" w:rsidR="00F305DF" w:rsidRDefault="00F305DF" w:rsidP="00D578E6">
      <w:pPr>
        <w:pStyle w:val="Default"/>
        <w:rPr>
          <w:rFonts w:ascii="Calibri" w:eastAsia="Calibri" w:hAnsi="Calibri" w:cs="Times New Roman"/>
          <w:color w:val="auto"/>
          <w:sz w:val="22"/>
          <w:szCs w:val="22"/>
        </w:rPr>
      </w:pPr>
      <w:r>
        <w:rPr>
          <w:rFonts w:ascii="Calibri" w:eastAsia="Calibri" w:hAnsi="Calibri" w:cs="Times New Roman"/>
          <w:color w:val="auto"/>
          <w:sz w:val="22"/>
          <w:szCs w:val="22"/>
        </w:rPr>
        <w:t>In 2022 zijn handreikingen 1150 en 1151 gepubliceerd. Ook heeft de</w:t>
      </w:r>
      <w:r w:rsidRPr="006D2DF8">
        <w:rPr>
          <w:rFonts w:ascii="Calibri" w:eastAsia="Calibri" w:hAnsi="Calibri" w:cs="Times New Roman"/>
          <w:color w:val="auto"/>
          <w:sz w:val="22"/>
          <w:szCs w:val="22"/>
        </w:rPr>
        <w:t xml:space="preserve"> NBA controleverklaringen 2022 en 202</w:t>
      </w:r>
      <w:r>
        <w:rPr>
          <w:rFonts w:ascii="Calibri" w:eastAsia="Calibri" w:hAnsi="Calibri" w:cs="Times New Roman"/>
          <w:color w:val="auto"/>
          <w:sz w:val="22"/>
          <w:szCs w:val="22"/>
        </w:rPr>
        <w:t>1</w:t>
      </w:r>
      <w:r w:rsidRPr="006D2DF8">
        <w:rPr>
          <w:rFonts w:ascii="Calibri" w:eastAsia="Calibri" w:hAnsi="Calibri" w:cs="Times New Roman"/>
          <w:color w:val="auto"/>
          <w:sz w:val="22"/>
          <w:szCs w:val="22"/>
        </w:rPr>
        <w:t xml:space="preserve"> van </w:t>
      </w:r>
      <w:proofErr w:type="spellStart"/>
      <w:r w:rsidRPr="006D2DF8">
        <w:rPr>
          <w:rFonts w:ascii="Calibri" w:eastAsia="Calibri" w:hAnsi="Calibri" w:cs="Times New Roman"/>
          <w:color w:val="auto"/>
          <w:sz w:val="22"/>
          <w:szCs w:val="22"/>
        </w:rPr>
        <w:t>oob’s</w:t>
      </w:r>
      <w:proofErr w:type="spellEnd"/>
      <w:r w:rsidRPr="006D2DF8">
        <w:rPr>
          <w:rFonts w:ascii="Calibri" w:eastAsia="Calibri" w:hAnsi="Calibri" w:cs="Times New Roman"/>
          <w:color w:val="auto"/>
          <w:sz w:val="22"/>
          <w:szCs w:val="22"/>
        </w:rPr>
        <w:t xml:space="preserve"> en niet-</w:t>
      </w:r>
      <w:proofErr w:type="spellStart"/>
      <w:r>
        <w:rPr>
          <w:rFonts w:ascii="Calibri" w:eastAsia="Calibri" w:hAnsi="Calibri" w:cs="Times New Roman"/>
          <w:color w:val="auto"/>
          <w:sz w:val="22"/>
          <w:szCs w:val="22"/>
        </w:rPr>
        <w:t>oob’s</w:t>
      </w:r>
      <w:proofErr w:type="spellEnd"/>
      <w:r>
        <w:rPr>
          <w:rFonts w:ascii="Calibri" w:eastAsia="Calibri" w:hAnsi="Calibri" w:cs="Times New Roman"/>
          <w:color w:val="auto"/>
          <w:sz w:val="22"/>
          <w:szCs w:val="22"/>
        </w:rPr>
        <w:t xml:space="preserve"> </w:t>
      </w:r>
      <w:r w:rsidRPr="006D2DF8">
        <w:rPr>
          <w:rFonts w:ascii="Calibri" w:eastAsia="Calibri" w:hAnsi="Calibri" w:cs="Times New Roman"/>
          <w:color w:val="auto"/>
          <w:sz w:val="22"/>
          <w:szCs w:val="22"/>
        </w:rPr>
        <w:t>geanalyseerd</w:t>
      </w:r>
      <w:r>
        <w:t xml:space="preserve"> </w:t>
      </w:r>
      <w:r w:rsidRPr="00232145">
        <w:rPr>
          <w:rFonts w:ascii="Calibri" w:eastAsia="Calibri" w:hAnsi="Calibri" w:cs="Times New Roman"/>
          <w:color w:val="auto"/>
          <w:sz w:val="22"/>
          <w:szCs w:val="22"/>
        </w:rPr>
        <w:t xml:space="preserve">voor de thema’s fraude en continuïteit. </w:t>
      </w:r>
      <w:r>
        <w:rPr>
          <w:rFonts w:ascii="Calibri" w:eastAsia="Calibri" w:hAnsi="Calibri" w:cs="Times New Roman"/>
          <w:color w:val="auto"/>
          <w:sz w:val="22"/>
          <w:szCs w:val="22"/>
        </w:rPr>
        <w:t xml:space="preserve">De uitkomsten zijn afgestemd met gebruikers (voor fraude) en gepubliceerd. De </w:t>
      </w:r>
      <w:r w:rsidR="00B57103">
        <w:rPr>
          <w:rFonts w:ascii="Calibri" w:eastAsia="Calibri" w:hAnsi="Calibri" w:cs="Times New Roman"/>
          <w:color w:val="auto"/>
          <w:sz w:val="22"/>
          <w:szCs w:val="22"/>
        </w:rPr>
        <w:t>uitkomsten</w:t>
      </w:r>
      <w:r>
        <w:rPr>
          <w:rFonts w:ascii="Calibri" w:eastAsia="Calibri" w:hAnsi="Calibri" w:cs="Times New Roman"/>
          <w:color w:val="auto"/>
          <w:sz w:val="22"/>
          <w:szCs w:val="22"/>
        </w:rPr>
        <w:t xml:space="preserve"> in de analyse</w:t>
      </w:r>
      <w:r w:rsidR="00B57103">
        <w:rPr>
          <w:rFonts w:ascii="Calibri" w:eastAsia="Calibri" w:hAnsi="Calibri" w:cs="Times New Roman"/>
          <w:color w:val="auto"/>
          <w:sz w:val="22"/>
          <w:szCs w:val="22"/>
        </w:rPr>
        <w:t>s 2021 en 2022</w:t>
      </w:r>
      <w:r>
        <w:rPr>
          <w:rFonts w:ascii="Calibri" w:eastAsia="Calibri" w:hAnsi="Calibri" w:cs="Times New Roman"/>
          <w:color w:val="auto"/>
          <w:sz w:val="22"/>
          <w:szCs w:val="22"/>
        </w:rPr>
        <w:t xml:space="preserve"> zijn erg vergelijkbaar. </w:t>
      </w:r>
    </w:p>
    <w:p w14:paraId="2CF5F6F4" w14:textId="77777777" w:rsidR="00F305DF" w:rsidRDefault="00F305DF" w:rsidP="00D578E6">
      <w:pPr>
        <w:pStyle w:val="Default"/>
        <w:rPr>
          <w:rFonts w:ascii="Calibri" w:eastAsia="Calibri" w:hAnsi="Calibri" w:cs="Times New Roman"/>
          <w:color w:val="auto"/>
          <w:sz w:val="22"/>
          <w:szCs w:val="22"/>
        </w:rPr>
      </w:pPr>
    </w:p>
    <w:p w14:paraId="730FAAF5" w14:textId="77777777" w:rsidR="00F305DF" w:rsidRPr="00180C08" w:rsidRDefault="00F305DF" w:rsidP="00D578E6">
      <w:pPr>
        <w:pStyle w:val="Default"/>
        <w:rPr>
          <w:rFonts w:ascii="Calibri" w:eastAsia="Calibri" w:hAnsi="Calibri" w:cs="Times New Roman"/>
          <w:i/>
          <w:iCs/>
          <w:color w:val="auto"/>
          <w:sz w:val="22"/>
          <w:szCs w:val="22"/>
        </w:rPr>
      </w:pPr>
      <w:r w:rsidRPr="00180C08">
        <w:rPr>
          <w:rFonts w:ascii="Calibri" w:eastAsia="Calibri" w:hAnsi="Calibri" w:cs="Times New Roman"/>
          <w:i/>
          <w:iCs/>
          <w:color w:val="auto"/>
          <w:sz w:val="22"/>
          <w:szCs w:val="22"/>
        </w:rPr>
        <w:t>Fraude</w:t>
      </w:r>
      <w:r>
        <w:rPr>
          <w:rFonts w:ascii="Calibri" w:eastAsia="Calibri" w:hAnsi="Calibri" w:cs="Times New Roman"/>
          <w:i/>
          <w:iCs/>
          <w:color w:val="auto"/>
          <w:sz w:val="22"/>
          <w:szCs w:val="22"/>
        </w:rPr>
        <w:t xml:space="preserve"> publicaties</w:t>
      </w:r>
    </w:p>
    <w:p w14:paraId="3B1E5B4F" w14:textId="77777777" w:rsidR="00F305DF" w:rsidRDefault="00F305DF" w:rsidP="00D578E6">
      <w:pPr>
        <w:pStyle w:val="Geenafstand"/>
        <w:numPr>
          <w:ilvl w:val="0"/>
          <w:numId w:val="13"/>
        </w:numPr>
        <w:ind w:left="284" w:hanging="284"/>
      </w:pPr>
      <w:r>
        <w:t xml:space="preserve">NBA Handreiking 1150: </w:t>
      </w:r>
      <w:hyperlink r:id="rId15" w:history="1">
        <w:r>
          <w:rPr>
            <w:rStyle w:val="Hyperlink"/>
          </w:rPr>
          <w:t>NBA-handreiking 1150</w:t>
        </w:r>
      </w:hyperlink>
    </w:p>
    <w:p w14:paraId="16A1CB88" w14:textId="77777777" w:rsidR="00F305DF" w:rsidRDefault="00F305DF" w:rsidP="00D578E6">
      <w:pPr>
        <w:pStyle w:val="Geenafstand"/>
        <w:numPr>
          <w:ilvl w:val="0"/>
          <w:numId w:val="13"/>
        </w:numPr>
        <w:ind w:left="284" w:hanging="284"/>
      </w:pPr>
      <w:r>
        <w:t xml:space="preserve">NBA voorbeelden fraudesecties: </w:t>
      </w:r>
      <w:hyperlink r:id="rId16" w:history="1">
        <w:r>
          <w:rPr>
            <w:rStyle w:val="Hyperlink"/>
          </w:rPr>
          <w:t>NBA publiceert voorbeelden Fraudesectie controleverklaring</w:t>
        </w:r>
      </w:hyperlink>
    </w:p>
    <w:p w14:paraId="5809CE1D" w14:textId="77777777" w:rsidR="00F305DF" w:rsidRDefault="00F305DF" w:rsidP="00D578E6">
      <w:pPr>
        <w:pStyle w:val="Geenafstand"/>
        <w:numPr>
          <w:ilvl w:val="0"/>
          <w:numId w:val="13"/>
        </w:numPr>
        <w:ind w:left="284" w:hanging="284"/>
      </w:pPr>
      <w:r>
        <w:t xml:space="preserve">NBA rapportage naar aanleiding van fraudesecties in controleverklaringen van </w:t>
      </w:r>
      <w:proofErr w:type="spellStart"/>
      <w:r>
        <w:t>oob’s</w:t>
      </w:r>
      <w:proofErr w:type="spellEnd"/>
      <w:r>
        <w:t xml:space="preserve"> – d.d. december 2022 </w:t>
      </w:r>
      <w:hyperlink r:id="rId17" w:history="1">
        <w:r>
          <w:rPr>
            <w:rStyle w:val="Hyperlink"/>
          </w:rPr>
          <w:t xml:space="preserve">Analyse rapportering over fraude in </w:t>
        </w:r>
        <w:proofErr w:type="spellStart"/>
        <w:r>
          <w:rPr>
            <w:rStyle w:val="Hyperlink"/>
          </w:rPr>
          <w:t>oob</w:t>
        </w:r>
        <w:proofErr w:type="spellEnd"/>
        <w:r>
          <w:rPr>
            <w:rStyle w:val="Hyperlink"/>
          </w:rPr>
          <w:t>-controleverklaringen 2021 (nba.nl)</w:t>
        </w:r>
      </w:hyperlink>
    </w:p>
    <w:p w14:paraId="0B3500BC" w14:textId="77777777" w:rsidR="00F305DF" w:rsidRDefault="00F305DF" w:rsidP="00D578E6">
      <w:pPr>
        <w:pStyle w:val="Geenafstand"/>
        <w:numPr>
          <w:ilvl w:val="0"/>
          <w:numId w:val="13"/>
        </w:numPr>
        <w:ind w:left="284" w:hanging="284"/>
      </w:pPr>
      <w:r>
        <w:t xml:space="preserve">NBA rapportage naar aanleiding van fraudesecties in controleverklaringen van niet </w:t>
      </w:r>
      <w:proofErr w:type="spellStart"/>
      <w:r>
        <w:t>oob’s</w:t>
      </w:r>
      <w:proofErr w:type="spellEnd"/>
      <w:r>
        <w:t xml:space="preserve"> – d.d. december 2022 </w:t>
      </w:r>
      <w:hyperlink r:id="rId18" w:history="1">
        <w:r>
          <w:rPr>
            <w:rStyle w:val="Hyperlink"/>
          </w:rPr>
          <w:t>Rapportage analyse fraudesecties in controleverklaringen 2021 van niet-</w:t>
        </w:r>
        <w:proofErr w:type="spellStart"/>
        <w:r>
          <w:rPr>
            <w:rStyle w:val="Hyperlink"/>
          </w:rPr>
          <w:t>oob's</w:t>
        </w:r>
        <w:proofErr w:type="spellEnd"/>
        <w:r>
          <w:rPr>
            <w:rStyle w:val="Hyperlink"/>
          </w:rPr>
          <w:t xml:space="preserve"> (nba.nl)</w:t>
        </w:r>
      </w:hyperlink>
    </w:p>
    <w:p w14:paraId="0B69E9BE" w14:textId="77777777" w:rsidR="00F305DF" w:rsidRDefault="00F305DF" w:rsidP="00D578E6">
      <w:pPr>
        <w:pStyle w:val="Geenafstand"/>
        <w:numPr>
          <w:ilvl w:val="0"/>
          <w:numId w:val="13"/>
        </w:numPr>
        <w:ind w:left="284" w:hanging="284"/>
      </w:pPr>
      <w:r>
        <w:t xml:space="preserve">NBA Onderzoeksrapport ter evaluatie van de toepassing </w:t>
      </w:r>
      <w:proofErr w:type="spellStart"/>
      <w:r>
        <w:t>std</w:t>
      </w:r>
      <w:proofErr w:type="spellEnd"/>
      <w:r>
        <w:t xml:space="preserve"> 700 fraude en bericht NBA bestuur over waarnemingen en observaties – d.d. december 2022 </w:t>
      </w:r>
      <w:hyperlink r:id="rId19" w:history="1">
        <w:r>
          <w:rPr>
            <w:rStyle w:val="Hyperlink"/>
          </w:rPr>
          <w:t>NBA-onderzoek toepassing standaard 700 - Fraude: waarnemingen en uitkomsten</w:t>
        </w:r>
      </w:hyperlink>
    </w:p>
    <w:p w14:paraId="7938CF66" w14:textId="74C2FA3D" w:rsidR="00F305DF" w:rsidRDefault="00F305DF" w:rsidP="00D578E6">
      <w:pPr>
        <w:pStyle w:val="Geenafstand"/>
        <w:numPr>
          <w:ilvl w:val="0"/>
          <w:numId w:val="13"/>
        </w:numPr>
        <w:ind w:left="284" w:hanging="284"/>
      </w:pPr>
      <w:r>
        <w:t xml:space="preserve">NBA rapportage over rapportering over fraude in controleverklaringen 2022 – d.d. mei 2024:  </w:t>
      </w:r>
      <w:hyperlink r:id="rId20" w:history="1">
        <w:r>
          <w:rPr>
            <w:rStyle w:val="Hyperlink"/>
          </w:rPr>
          <w:t>rapportering-over-fraude-in-de-controleverklaring-2022 (1).pdf</w:t>
        </w:r>
      </w:hyperlink>
    </w:p>
    <w:p w14:paraId="137970CC" w14:textId="77777777" w:rsidR="00F305DF" w:rsidRDefault="00F305DF" w:rsidP="00D578E6">
      <w:pPr>
        <w:pStyle w:val="Geenafstand"/>
      </w:pPr>
    </w:p>
    <w:p w14:paraId="34E8F596" w14:textId="4DF29E4C" w:rsidR="00F305DF" w:rsidRPr="00AC004E" w:rsidRDefault="0005037B" w:rsidP="00D578E6">
      <w:pPr>
        <w:pStyle w:val="Default"/>
        <w:rPr>
          <w:rFonts w:ascii="Calibri" w:eastAsia="Calibri" w:hAnsi="Calibri" w:cs="Times New Roman"/>
          <w:i/>
          <w:iCs/>
          <w:color w:val="auto"/>
          <w:sz w:val="22"/>
          <w:szCs w:val="22"/>
        </w:rPr>
      </w:pPr>
      <w:r>
        <w:rPr>
          <w:rFonts w:ascii="Calibri" w:eastAsia="Calibri" w:hAnsi="Calibri" w:cs="Times New Roman"/>
          <w:i/>
          <w:iCs/>
          <w:color w:val="auto"/>
          <w:sz w:val="22"/>
          <w:szCs w:val="22"/>
        </w:rPr>
        <w:t>Uitkomsten inzake r</w:t>
      </w:r>
      <w:r w:rsidR="00F305DF">
        <w:rPr>
          <w:rFonts w:ascii="Calibri" w:eastAsia="Calibri" w:hAnsi="Calibri" w:cs="Times New Roman"/>
          <w:i/>
          <w:iCs/>
          <w:color w:val="auto"/>
          <w:sz w:val="22"/>
          <w:szCs w:val="22"/>
        </w:rPr>
        <w:t>apportering over fraude in controleverklaringen</w:t>
      </w:r>
      <w:r w:rsidR="00F305DF" w:rsidRPr="00AC004E">
        <w:rPr>
          <w:rFonts w:ascii="Calibri" w:eastAsia="Calibri" w:hAnsi="Calibri" w:cs="Times New Roman"/>
          <w:i/>
          <w:iCs/>
          <w:color w:val="auto"/>
          <w:sz w:val="22"/>
          <w:szCs w:val="22"/>
        </w:rPr>
        <w:t>:</w:t>
      </w:r>
    </w:p>
    <w:p w14:paraId="68224D29" w14:textId="77777777" w:rsidR="00F305DF" w:rsidRDefault="00F305DF" w:rsidP="00D578E6">
      <w:pPr>
        <w:pStyle w:val="Default"/>
        <w:numPr>
          <w:ilvl w:val="0"/>
          <w:numId w:val="18"/>
        </w:numPr>
        <w:ind w:left="284" w:hanging="284"/>
        <w:rPr>
          <w:rFonts w:ascii="Calibri" w:eastAsia="Calibri" w:hAnsi="Calibri" w:cs="Times New Roman"/>
          <w:color w:val="auto"/>
          <w:sz w:val="22"/>
          <w:szCs w:val="22"/>
        </w:rPr>
      </w:pPr>
      <w:r>
        <w:rPr>
          <w:rFonts w:ascii="Calibri" w:eastAsia="Calibri" w:hAnsi="Calibri" w:cs="Times New Roman"/>
          <w:color w:val="auto"/>
          <w:sz w:val="22"/>
          <w:szCs w:val="22"/>
        </w:rPr>
        <w:t>Overall zijn over deze twee rapporteringsperioden in nagenoeg alle verklaringen conclusies getrokken dat de</w:t>
      </w:r>
      <w:r w:rsidRPr="00CE365A">
        <w:rPr>
          <w:rFonts w:ascii="Calibri" w:eastAsia="Calibri" w:hAnsi="Calibri" w:cs="Times New Roman"/>
          <w:color w:val="auto"/>
          <w:sz w:val="22"/>
          <w:szCs w:val="22"/>
        </w:rPr>
        <w:t xml:space="preserve"> controle niet heeft geleid tot aanwijzingen voor fraude die tot</w:t>
      </w:r>
      <w:r>
        <w:rPr>
          <w:rFonts w:ascii="Calibri" w:eastAsia="Calibri" w:hAnsi="Calibri" w:cs="Times New Roman"/>
          <w:color w:val="auto"/>
          <w:sz w:val="22"/>
          <w:szCs w:val="22"/>
        </w:rPr>
        <w:t xml:space="preserve"> </w:t>
      </w:r>
      <w:r w:rsidRPr="00CE365A">
        <w:rPr>
          <w:rFonts w:ascii="Calibri" w:eastAsia="Calibri" w:hAnsi="Calibri" w:cs="Times New Roman"/>
          <w:color w:val="auto"/>
          <w:sz w:val="22"/>
          <w:szCs w:val="22"/>
        </w:rPr>
        <w:t>materiële onjuistheden in de jaarrekening zou kunnen leiden.</w:t>
      </w:r>
    </w:p>
    <w:p w14:paraId="06F71DA7" w14:textId="77777777" w:rsidR="00F305DF" w:rsidRDefault="00F305DF" w:rsidP="00D578E6">
      <w:pPr>
        <w:pStyle w:val="Default"/>
        <w:numPr>
          <w:ilvl w:val="0"/>
          <w:numId w:val="18"/>
        </w:numPr>
        <w:ind w:left="284" w:hanging="284"/>
        <w:rPr>
          <w:rFonts w:ascii="Calibri" w:eastAsia="Calibri" w:hAnsi="Calibri" w:cs="Times New Roman"/>
          <w:color w:val="auto"/>
          <w:sz w:val="22"/>
          <w:szCs w:val="22"/>
        </w:rPr>
      </w:pPr>
      <w:r w:rsidRPr="0006321F">
        <w:rPr>
          <w:rFonts w:ascii="Calibri" w:eastAsia="Calibri" w:hAnsi="Calibri" w:cs="Times New Roman"/>
          <w:color w:val="auto"/>
          <w:sz w:val="22"/>
          <w:szCs w:val="22"/>
        </w:rPr>
        <w:t>Over uitkomsten van de controle en waarnemingen en observaties naar aanleiding van een aanwijzing van vermoede fraude wordt zeer beperkt gerapporteerd. Als er teksten in de controleverklaring zijn opgenomen dat heeft de gecontroleerde entiteit er meestal ook zelf over gerapporteerd</w:t>
      </w:r>
      <w:r>
        <w:rPr>
          <w:rFonts w:ascii="Calibri" w:eastAsia="Calibri" w:hAnsi="Calibri" w:cs="Times New Roman"/>
          <w:color w:val="auto"/>
          <w:sz w:val="22"/>
          <w:szCs w:val="22"/>
        </w:rPr>
        <w:t xml:space="preserve"> en is een verwijzing opgenomen. </w:t>
      </w:r>
    </w:p>
    <w:p w14:paraId="51393787" w14:textId="77777777" w:rsidR="00F305DF" w:rsidRDefault="00F305DF" w:rsidP="00D578E6">
      <w:pPr>
        <w:pStyle w:val="Default"/>
        <w:numPr>
          <w:ilvl w:val="0"/>
          <w:numId w:val="18"/>
        </w:numPr>
        <w:ind w:left="284" w:hanging="284"/>
        <w:rPr>
          <w:rFonts w:ascii="Calibri" w:eastAsia="Calibri" w:hAnsi="Calibri" w:cs="Times New Roman"/>
          <w:color w:val="auto"/>
          <w:sz w:val="22"/>
          <w:szCs w:val="22"/>
        </w:rPr>
      </w:pPr>
      <w:r>
        <w:rPr>
          <w:rFonts w:ascii="Calibri" w:eastAsia="Calibri" w:hAnsi="Calibri" w:cs="Times New Roman"/>
          <w:color w:val="auto"/>
          <w:sz w:val="22"/>
          <w:szCs w:val="22"/>
        </w:rPr>
        <w:t xml:space="preserve">Verkorte beschrijving in de fraudesectie als gevolg van geen significante aandacht bij de controle vindt niet dan wel heel beperkt plaats. </w:t>
      </w:r>
    </w:p>
    <w:p w14:paraId="1B142829" w14:textId="77777777" w:rsidR="00F305DF" w:rsidRDefault="00F305DF" w:rsidP="00D578E6">
      <w:pPr>
        <w:pStyle w:val="Default"/>
        <w:numPr>
          <w:ilvl w:val="0"/>
          <w:numId w:val="18"/>
        </w:numPr>
        <w:ind w:left="284" w:hanging="284"/>
        <w:rPr>
          <w:rFonts w:ascii="Calibri" w:eastAsia="Calibri" w:hAnsi="Calibri" w:cs="Times New Roman"/>
          <w:color w:val="auto"/>
          <w:sz w:val="22"/>
          <w:szCs w:val="22"/>
        </w:rPr>
      </w:pPr>
      <w:r>
        <w:rPr>
          <w:rFonts w:ascii="Calibri" w:eastAsia="Calibri" w:hAnsi="Calibri" w:cs="Times New Roman"/>
          <w:color w:val="auto"/>
          <w:sz w:val="22"/>
          <w:szCs w:val="22"/>
        </w:rPr>
        <w:t xml:space="preserve">De rapportages zijn beperkt cliënt-specifiek en bevatten (sectorgewijze) standaardteksten op basis van formats van de accountantsorganisaties. </w:t>
      </w:r>
    </w:p>
    <w:p w14:paraId="6F5578DF" w14:textId="77777777" w:rsidR="00F305DF" w:rsidRPr="0006321F" w:rsidRDefault="00F305DF" w:rsidP="00D578E6">
      <w:pPr>
        <w:pStyle w:val="Default"/>
        <w:numPr>
          <w:ilvl w:val="0"/>
          <w:numId w:val="18"/>
        </w:numPr>
        <w:ind w:left="284" w:hanging="284"/>
        <w:rPr>
          <w:rFonts w:ascii="Calibri" w:eastAsia="Calibri" w:hAnsi="Calibri" w:cs="Times New Roman"/>
          <w:color w:val="auto"/>
          <w:sz w:val="22"/>
          <w:szCs w:val="22"/>
        </w:rPr>
      </w:pPr>
      <w:r>
        <w:rPr>
          <w:rFonts w:ascii="Calibri" w:eastAsia="Calibri" w:hAnsi="Calibri" w:cs="Times New Roman"/>
          <w:color w:val="auto"/>
          <w:sz w:val="22"/>
          <w:szCs w:val="22"/>
        </w:rPr>
        <w:t>Voor</w:t>
      </w:r>
      <w:r w:rsidRPr="0006321F">
        <w:rPr>
          <w:rFonts w:ascii="Calibri" w:eastAsia="Calibri" w:hAnsi="Calibri" w:cs="Times New Roman"/>
          <w:color w:val="auto"/>
          <w:sz w:val="22"/>
          <w:szCs w:val="22"/>
        </w:rPr>
        <w:t xml:space="preserve"> de </w:t>
      </w:r>
      <w:proofErr w:type="spellStart"/>
      <w:r w:rsidRPr="0006321F">
        <w:rPr>
          <w:rFonts w:ascii="Calibri" w:eastAsia="Calibri" w:hAnsi="Calibri" w:cs="Times New Roman"/>
          <w:color w:val="auto"/>
          <w:sz w:val="22"/>
          <w:szCs w:val="22"/>
        </w:rPr>
        <w:t>oob</w:t>
      </w:r>
      <w:r>
        <w:rPr>
          <w:rFonts w:ascii="Calibri" w:eastAsia="Calibri" w:hAnsi="Calibri" w:cs="Times New Roman"/>
          <w:color w:val="auto"/>
          <w:sz w:val="22"/>
          <w:szCs w:val="22"/>
        </w:rPr>
        <w:t>’</w:t>
      </w:r>
      <w:r w:rsidRPr="0006321F">
        <w:rPr>
          <w:rFonts w:ascii="Calibri" w:eastAsia="Calibri" w:hAnsi="Calibri" w:cs="Times New Roman"/>
          <w:color w:val="auto"/>
          <w:sz w:val="22"/>
          <w:szCs w:val="22"/>
        </w:rPr>
        <w:t>s</w:t>
      </w:r>
      <w:proofErr w:type="spellEnd"/>
      <w:r w:rsidRPr="0006321F">
        <w:rPr>
          <w:rFonts w:ascii="Calibri" w:eastAsia="Calibri" w:hAnsi="Calibri" w:cs="Times New Roman"/>
          <w:color w:val="auto"/>
          <w:sz w:val="22"/>
          <w:szCs w:val="22"/>
        </w:rPr>
        <w:t xml:space="preserve"> </w:t>
      </w:r>
      <w:r>
        <w:rPr>
          <w:rFonts w:ascii="Calibri" w:eastAsia="Calibri" w:hAnsi="Calibri" w:cs="Times New Roman"/>
          <w:color w:val="auto"/>
          <w:sz w:val="22"/>
          <w:szCs w:val="22"/>
        </w:rPr>
        <w:t xml:space="preserve">staat </w:t>
      </w:r>
      <w:r w:rsidRPr="0006321F">
        <w:rPr>
          <w:rFonts w:ascii="Calibri" w:eastAsia="Calibri" w:hAnsi="Calibri" w:cs="Times New Roman"/>
          <w:color w:val="auto"/>
          <w:sz w:val="22"/>
          <w:szCs w:val="22"/>
        </w:rPr>
        <w:t>de rapportering over fraude zowel in de fraude-secties als in de kernpunten van de controle</w:t>
      </w:r>
      <w:r>
        <w:rPr>
          <w:rFonts w:ascii="Calibri" w:eastAsia="Calibri" w:hAnsi="Calibri" w:cs="Times New Roman"/>
          <w:color w:val="auto"/>
          <w:sz w:val="22"/>
          <w:szCs w:val="22"/>
        </w:rPr>
        <w:t xml:space="preserve">, </w:t>
      </w:r>
      <w:r w:rsidRPr="0006321F">
        <w:rPr>
          <w:rFonts w:ascii="Calibri" w:eastAsia="Calibri" w:hAnsi="Calibri" w:cs="Times New Roman"/>
          <w:color w:val="auto"/>
          <w:sz w:val="22"/>
          <w:szCs w:val="22"/>
        </w:rPr>
        <w:t xml:space="preserve">waarbij standaardteksten en vaste formats vanuit de accountantsorganisaties te herkennen zijn. </w:t>
      </w:r>
    </w:p>
    <w:p w14:paraId="3D0AE3E5" w14:textId="77777777" w:rsidR="00F305DF" w:rsidRDefault="00F305DF" w:rsidP="00D578E6">
      <w:pPr>
        <w:pStyle w:val="Default"/>
        <w:numPr>
          <w:ilvl w:val="0"/>
          <w:numId w:val="18"/>
        </w:numPr>
        <w:ind w:left="284" w:hanging="284"/>
        <w:rPr>
          <w:rFonts w:ascii="Calibri" w:eastAsia="Calibri" w:hAnsi="Calibri" w:cs="Times New Roman"/>
          <w:color w:val="auto"/>
          <w:sz w:val="22"/>
          <w:szCs w:val="22"/>
        </w:rPr>
      </w:pPr>
      <w:r>
        <w:rPr>
          <w:rFonts w:ascii="Calibri" w:eastAsia="Calibri" w:hAnsi="Calibri" w:cs="Times New Roman"/>
          <w:color w:val="auto"/>
          <w:sz w:val="22"/>
          <w:szCs w:val="22"/>
        </w:rPr>
        <w:t xml:space="preserve">Een aantal </w:t>
      </w:r>
      <w:proofErr w:type="spellStart"/>
      <w:r>
        <w:rPr>
          <w:rFonts w:ascii="Calibri" w:eastAsia="Calibri" w:hAnsi="Calibri" w:cs="Times New Roman"/>
          <w:color w:val="auto"/>
          <w:sz w:val="22"/>
          <w:szCs w:val="22"/>
        </w:rPr>
        <w:t>oob</w:t>
      </w:r>
      <w:proofErr w:type="spellEnd"/>
      <w:r>
        <w:rPr>
          <w:rFonts w:ascii="Calibri" w:eastAsia="Calibri" w:hAnsi="Calibri" w:cs="Times New Roman"/>
          <w:color w:val="auto"/>
          <w:sz w:val="22"/>
          <w:szCs w:val="22"/>
        </w:rPr>
        <w:t>-accountantsorganisaties heeft in de fraudesecties ook gerapporteerd over de niet-naleving van wet- en regelgeving (</w:t>
      </w:r>
      <w:proofErr w:type="spellStart"/>
      <w:r>
        <w:rPr>
          <w:rFonts w:ascii="Calibri" w:eastAsia="Calibri" w:hAnsi="Calibri" w:cs="Times New Roman"/>
          <w:color w:val="auto"/>
          <w:sz w:val="22"/>
          <w:szCs w:val="22"/>
        </w:rPr>
        <w:t>std</w:t>
      </w:r>
      <w:proofErr w:type="spellEnd"/>
      <w:r>
        <w:rPr>
          <w:rFonts w:ascii="Calibri" w:eastAsia="Calibri" w:hAnsi="Calibri" w:cs="Times New Roman"/>
          <w:color w:val="auto"/>
          <w:sz w:val="22"/>
          <w:szCs w:val="22"/>
        </w:rPr>
        <w:t xml:space="preserve"> 250). </w:t>
      </w:r>
    </w:p>
    <w:p w14:paraId="65D59CC9" w14:textId="77777777" w:rsidR="00F305DF" w:rsidRPr="00AC004E" w:rsidRDefault="00F305DF" w:rsidP="00D578E6">
      <w:pPr>
        <w:pStyle w:val="Default"/>
        <w:numPr>
          <w:ilvl w:val="0"/>
          <w:numId w:val="18"/>
        </w:numPr>
        <w:ind w:left="284" w:hanging="284"/>
        <w:rPr>
          <w:rFonts w:ascii="Calibri" w:eastAsia="Calibri" w:hAnsi="Calibri" w:cs="Times New Roman"/>
          <w:color w:val="auto"/>
          <w:sz w:val="22"/>
          <w:szCs w:val="22"/>
        </w:rPr>
      </w:pPr>
      <w:r w:rsidRPr="00AC004E">
        <w:rPr>
          <w:rFonts w:ascii="Calibri" w:eastAsia="Calibri" w:hAnsi="Calibri" w:cs="Times New Roman"/>
          <w:color w:val="auto"/>
          <w:sz w:val="22"/>
          <w:szCs w:val="22"/>
        </w:rPr>
        <w:t xml:space="preserve">De NBA heeft er geen zicht op of voor niet </w:t>
      </w:r>
      <w:proofErr w:type="spellStart"/>
      <w:r w:rsidRPr="00AC004E">
        <w:rPr>
          <w:rFonts w:ascii="Calibri" w:eastAsia="Calibri" w:hAnsi="Calibri" w:cs="Times New Roman"/>
          <w:color w:val="auto"/>
          <w:sz w:val="22"/>
          <w:szCs w:val="22"/>
        </w:rPr>
        <w:t>wta</w:t>
      </w:r>
      <w:proofErr w:type="spellEnd"/>
      <w:r w:rsidRPr="00AC004E">
        <w:rPr>
          <w:rFonts w:ascii="Calibri" w:eastAsia="Calibri" w:hAnsi="Calibri" w:cs="Times New Roman"/>
          <w:color w:val="auto"/>
          <w:sz w:val="22"/>
          <w:szCs w:val="22"/>
        </w:rPr>
        <w:t xml:space="preserve">-controles vrijwillig is gerapporteerd over fraude.  </w:t>
      </w:r>
    </w:p>
    <w:p w14:paraId="4EECA7A1" w14:textId="77777777" w:rsidR="00F305DF" w:rsidRDefault="00F305DF" w:rsidP="00D578E6">
      <w:pPr>
        <w:pStyle w:val="Default"/>
        <w:rPr>
          <w:rFonts w:ascii="Calibri" w:eastAsia="Calibri" w:hAnsi="Calibri" w:cs="Times New Roman"/>
          <w:color w:val="auto"/>
          <w:sz w:val="22"/>
          <w:szCs w:val="22"/>
        </w:rPr>
      </w:pPr>
    </w:p>
    <w:p w14:paraId="67E7B8CE" w14:textId="02C87CD1" w:rsidR="00F305DF" w:rsidRPr="0005037B" w:rsidRDefault="0005037B" w:rsidP="00D578E6">
      <w:pPr>
        <w:pStyle w:val="Default"/>
        <w:rPr>
          <w:rFonts w:ascii="Calibri" w:eastAsia="Calibri" w:hAnsi="Calibri" w:cs="Times New Roman"/>
          <w:i/>
          <w:iCs/>
          <w:color w:val="auto"/>
          <w:sz w:val="22"/>
          <w:szCs w:val="22"/>
        </w:rPr>
      </w:pPr>
      <w:r w:rsidRPr="0005037B">
        <w:rPr>
          <w:rFonts w:ascii="Calibri" w:eastAsia="Calibri" w:hAnsi="Calibri" w:cs="Times New Roman"/>
          <w:i/>
          <w:iCs/>
          <w:color w:val="auto"/>
          <w:sz w:val="22"/>
          <w:szCs w:val="22"/>
        </w:rPr>
        <w:t xml:space="preserve">Rapportages inzake fraude zijn met gebruikers afgestemd; zie details in de rapportages 2021 en 2022. </w:t>
      </w:r>
    </w:p>
    <w:p w14:paraId="3B6E3B57" w14:textId="77777777" w:rsidR="0005037B" w:rsidRDefault="0005037B" w:rsidP="00D578E6">
      <w:pPr>
        <w:pStyle w:val="Default"/>
        <w:rPr>
          <w:rFonts w:ascii="Calibri" w:eastAsia="Calibri" w:hAnsi="Calibri" w:cs="Times New Roman"/>
          <w:b/>
          <w:bCs/>
          <w:color w:val="auto"/>
          <w:sz w:val="22"/>
          <w:szCs w:val="22"/>
        </w:rPr>
      </w:pPr>
    </w:p>
    <w:p w14:paraId="2B0F0DF0" w14:textId="77777777" w:rsidR="00B57103" w:rsidRDefault="00B57103" w:rsidP="00D578E6">
      <w:pPr>
        <w:pStyle w:val="Default"/>
        <w:rPr>
          <w:rFonts w:ascii="Calibri" w:eastAsia="Calibri" w:hAnsi="Calibri" w:cs="Times New Roman"/>
          <w:b/>
          <w:bCs/>
          <w:color w:val="auto"/>
          <w:sz w:val="22"/>
          <w:szCs w:val="22"/>
        </w:rPr>
      </w:pPr>
      <w:r>
        <w:rPr>
          <w:rFonts w:ascii="Calibri" w:eastAsia="Calibri" w:hAnsi="Calibri" w:cs="Times New Roman"/>
          <w:b/>
          <w:bCs/>
          <w:color w:val="auto"/>
          <w:sz w:val="22"/>
          <w:szCs w:val="22"/>
        </w:rPr>
        <w:br w:type="page"/>
      </w:r>
    </w:p>
    <w:p w14:paraId="3FA9B790" w14:textId="37469D58" w:rsidR="00F305DF" w:rsidRDefault="00F305DF" w:rsidP="00D578E6">
      <w:pPr>
        <w:pStyle w:val="Default"/>
        <w:rPr>
          <w:rFonts w:ascii="Calibri" w:eastAsia="Calibri" w:hAnsi="Calibri" w:cs="Times New Roman"/>
          <w:b/>
          <w:bCs/>
          <w:color w:val="auto"/>
          <w:sz w:val="22"/>
          <w:szCs w:val="22"/>
        </w:rPr>
      </w:pPr>
      <w:r>
        <w:rPr>
          <w:rFonts w:ascii="Calibri" w:eastAsia="Calibri" w:hAnsi="Calibri" w:cs="Times New Roman"/>
          <w:b/>
          <w:bCs/>
          <w:color w:val="auto"/>
          <w:sz w:val="22"/>
          <w:szCs w:val="22"/>
        </w:rPr>
        <w:lastRenderedPageBreak/>
        <w:t>C</w:t>
      </w:r>
      <w:r w:rsidRPr="00FA44C4">
        <w:rPr>
          <w:rFonts w:ascii="Calibri" w:eastAsia="Calibri" w:hAnsi="Calibri" w:cs="Times New Roman"/>
          <w:b/>
          <w:bCs/>
          <w:color w:val="auto"/>
          <w:sz w:val="22"/>
          <w:szCs w:val="22"/>
        </w:rPr>
        <w:t>ontinuïteit</w:t>
      </w:r>
    </w:p>
    <w:p w14:paraId="6CF3EB66" w14:textId="77777777" w:rsidR="00F305DF" w:rsidRDefault="00F305DF" w:rsidP="00D578E6">
      <w:pPr>
        <w:pStyle w:val="Default"/>
        <w:rPr>
          <w:rFonts w:ascii="Calibri" w:eastAsia="Calibri" w:hAnsi="Calibri" w:cs="Times New Roman"/>
          <w:b/>
          <w:bCs/>
          <w:color w:val="auto"/>
          <w:sz w:val="22"/>
          <w:szCs w:val="22"/>
        </w:rPr>
      </w:pPr>
    </w:p>
    <w:p w14:paraId="649A8AF5" w14:textId="77777777" w:rsidR="00F305DF" w:rsidRPr="00180C08" w:rsidRDefault="00F305DF" w:rsidP="00D578E6">
      <w:pPr>
        <w:pStyle w:val="Default"/>
        <w:rPr>
          <w:rFonts w:ascii="Calibri" w:eastAsia="Calibri" w:hAnsi="Calibri" w:cs="Times New Roman"/>
          <w:i/>
          <w:iCs/>
          <w:color w:val="auto"/>
          <w:sz w:val="22"/>
          <w:szCs w:val="22"/>
        </w:rPr>
      </w:pPr>
      <w:r>
        <w:rPr>
          <w:rFonts w:ascii="Calibri" w:eastAsia="Calibri" w:hAnsi="Calibri" w:cs="Times New Roman"/>
          <w:i/>
          <w:iCs/>
          <w:color w:val="auto"/>
          <w:sz w:val="22"/>
          <w:szCs w:val="22"/>
        </w:rPr>
        <w:t>Publicaties</w:t>
      </w:r>
    </w:p>
    <w:p w14:paraId="17D1D038" w14:textId="77777777" w:rsidR="00F305DF" w:rsidRDefault="00F305DF" w:rsidP="00D578E6">
      <w:pPr>
        <w:pStyle w:val="Geenafstand"/>
        <w:numPr>
          <w:ilvl w:val="0"/>
          <w:numId w:val="13"/>
        </w:numPr>
        <w:ind w:left="284" w:hanging="284"/>
      </w:pPr>
      <w:r>
        <w:t xml:space="preserve">NBA Handreiking 1151: </w:t>
      </w:r>
      <w:hyperlink r:id="rId21" w:history="1">
        <w:r>
          <w:rPr>
            <w:rStyle w:val="Hyperlink"/>
          </w:rPr>
          <w:t>NBA-handreiking 1151</w:t>
        </w:r>
      </w:hyperlink>
    </w:p>
    <w:p w14:paraId="672DA771" w14:textId="77777777" w:rsidR="00F305DF" w:rsidRDefault="00F305DF" w:rsidP="00D578E6">
      <w:pPr>
        <w:pStyle w:val="Geenafstand"/>
        <w:numPr>
          <w:ilvl w:val="0"/>
          <w:numId w:val="13"/>
        </w:numPr>
        <w:ind w:left="284" w:hanging="284"/>
      </w:pPr>
      <w:r>
        <w:t xml:space="preserve">NBA rapportage naar aanleiding van secties continuïteit in controleverklaringen van </w:t>
      </w:r>
      <w:proofErr w:type="spellStart"/>
      <w:r>
        <w:t>oob’s</w:t>
      </w:r>
      <w:proofErr w:type="spellEnd"/>
      <w:r>
        <w:t xml:space="preserve"> – d.d. juni 2023 </w:t>
      </w:r>
      <w:hyperlink r:id="rId22" w:history="1">
        <w:r>
          <w:rPr>
            <w:rStyle w:val="Hyperlink"/>
          </w:rPr>
          <w:t xml:space="preserve">Rapportage controleaanpak continuïteit in de controleverklaring bij </w:t>
        </w:r>
        <w:proofErr w:type="spellStart"/>
        <w:r>
          <w:rPr>
            <w:rStyle w:val="Hyperlink"/>
          </w:rPr>
          <w:t>oob's</w:t>
        </w:r>
        <w:proofErr w:type="spellEnd"/>
        <w:r>
          <w:rPr>
            <w:rStyle w:val="Hyperlink"/>
          </w:rPr>
          <w:t xml:space="preserve"> en niet-</w:t>
        </w:r>
        <w:proofErr w:type="spellStart"/>
        <w:r>
          <w:rPr>
            <w:rStyle w:val="Hyperlink"/>
          </w:rPr>
          <w:t>oob's</w:t>
        </w:r>
        <w:proofErr w:type="spellEnd"/>
        <w:r>
          <w:rPr>
            <w:rStyle w:val="Hyperlink"/>
          </w:rPr>
          <w:t xml:space="preserve"> 2021 (nba.nl)</w:t>
        </w:r>
      </w:hyperlink>
    </w:p>
    <w:p w14:paraId="5D7D959B" w14:textId="7706DB4F" w:rsidR="00F305DF" w:rsidRDefault="00F305DF" w:rsidP="00D578E6">
      <w:pPr>
        <w:pStyle w:val="Geenafstand"/>
        <w:numPr>
          <w:ilvl w:val="0"/>
          <w:numId w:val="13"/>
        </w:numPr>
        <w:ind w:left="284" w:hanging="284"/>
      </w:pPr>
      <w:r>
        <w:t xml:space="preserve">NBA rapportage over rapportering in controleverklaringen 2022 over continuïteit – d.d. mei 2024:  </w:t>
      </w:r>
      <w:hyperlink r:id="rId23" w:history="1">
        <w:r>
          <w:rPr>
            <w:rStyle w:val="Hyperlink"/>
          </w:rPr>
          <w:t>2024020_nba_onderzoek-continuiteit-in-de-controleverklaring-2022_1 (1).pdf</w:t>
        </w:r>
      </w:hyperlink>
    </w:p>
    <w:p w14:paraId="35E1494E" w14:textId="77777777" w:rsidR="00F305DF" w:rsidRDefault="00F305DF" w:rsidP="00D578E6">
      <w:pPr>
        <w:pStyle w:val="Default"/>
        <w:rPr>
          <w:rFonts w:ascii="Calibri" w:eastAsia="Calibri" w:hAnsi="Calibri" w:cs="Times New Roman"/>
          <w:b/>
          <w:bCs/>
          <w:color w:val="auto"/>
          <w:sz w:val="22"/>
          <w:szCs w:val="22"/>
        </w:rPr>
      </w:pPr>
    </w:p>
    <w:p w14:paraId="1EC601B1" w14:textId="77777777" w:rsidR="00F305DF" w:rsidRPr="00AC004E" w:rsidRDefault="00F305DF" w:rsidP="00D578E6">
      <w:pPr>
        <w:pStyle w:val="Default"/>
        <w:rPr>
          <w:rFonts w:ascii="Calibri" w:eastAsia="Calibri" w:hAnsi="Calibri" w:cs="Times New Roman"/>
          <w:i/>
          <w:iCs/>
          <w:color w:val="auto"/>
          <w:sz w:val="22"/>
          <w:szCs w:val="22"/>
        </w:rPr>
      </w:pPr>
      <w:r>
        <w:rPr>
          <w:rFonts w:ascii="Calibri" w:eastAsia="Calibri" w:hAnsi="Calibri" w:cs="Times New Roman"/>
          <w:i/>
          <w:iCs/>
          <w:color w:val="auto"/>
          <w:sz w:val="22"/>
          <w:szCs w:val="22"/>
        </w:rPr>
        <w:t xml:space="preserve">Rapportering over </w:t>
      </w:r>
      <w:r w:rsidRPr="009534A5">
        <w:rPr>
          <w:rFonts w:ascii="Calibri" w:eastAsia="Calibri" w:hAnsi="Calibri" w:cs="Times New Roman"/>
          <w:i/>
          <w:iCs/>
          <w:color w:val="auto"/>
          <w:sz w:val="22"/>
          <w:szCs w:val="22"/>
        </w:rPr>
        <w:t>Continuïteit</w:t>
      </w:r>
      <w:r>
        <w:rPr>
          <w:rFonts w:ascii="Calibri" w:eastAsia="Calibri" w:hAnsi="Calibri" w:cs="Times New Roman"/>
          <w:b/>
          <w:bCs/>
          <w:color w:val="auto"/>
          <w:sz w:val="22"/>
          <w:szCs w:val="22"/>
        </w:rPr>
        <w:t xml:space="preserve"> </w:t>
      </w:r>
      <w:r>
        <w:rPr>
          <w:rFonts w:ascii="Calibri" w:eastAsia="Calibri" w:hAnsi="Calibri" w:cs="Times New Roman"/>
          <w:i/>
          <w:iCs/>
          <w:color w:val="auto"/>
          <w:sz w:val="22"/>
          <w:szCs w:val="22"/>
        </w:rPr>
        <w:t>in controleverklaringen</w:t>
      </w:r>
      <w:r w:rsidRPr="00AC004E">
        <w:rPr>
          <w:rFonts w:ascii="Calibri" w:eastAsia="Calibri" w:hAnsi="Calibri" w:cs="Times New Roman"/>
          <w:i/>
          <w:iCs/>
          <w:color w:val="auto"/>
          <w:sz w:val="22"/>
          <w:szCs w:val="22"/>
        </w:rPr>
        <w:t>:</w:t>
      </w:r>
    </w:p>
    <w:p w14:paraId="2D3B9A4D" w14:textId="77777777" w:rsidR="00F305DF" w:rsidRDefault="00F305DF" w:rsidP="00D578E6">
      <w:pPr>
        <w:pStyle w:val="Default"/>
        <w:numPr>
          <w:ilvl w:val="0"/>
          <w:numId w:val="18"/>
        </w:numPr>
        <w:ind w:left="284" w:hanging="284"/>
        <w:rPr>
          <w:rFonts w:ascii="Calibri" w:eastAsia="Calibri" w:hAnsi="Calibri" w:cs="Times New Roman"/>
          <w:color w:val="auto"/>
          <w:sz w:val="22"/>
          <w:szCs w:val="22"/>
        </w:rPr>
      </w:pPr>
      <w:r>
        <w:rPr>
          <w:rFonts w:ascii="Calibri" w:eastAsia="Calibri" w:hAnsi="Calibri" w:cs="Times New Roman"/>
          <w:color w:val="auto"/>
          <w:sz w:val="22"/>
          <w:szCs w:val="22"/>
        </w:rPr>
        <w:t>In de meeste gevallen zien we generieke teksten of standaardteksten op basis van formats van de accountantsorganisaties of voorbeeldteksten van de NBA</w:t>
      </w:r>
    </w:p>
    <w:p w14:paraId="629B3BE2" w14:textId="77777777" w:rsidR="00F305DF" w:rsidRDefault="00F305DF" w:rsidP="00D578E6">
      <w:pPr>
        <w:pStyle w:val="Default"/>
        <w:numPr>
          <w:ilvl w:val="0"/>
          <w:numId w:val="18"/>
        </w:numPr>
        <w:ind w:left="284" w:hanging="284"/>
        <w:rPr>
          <w:rFonts w:ascii="Calibri" w:eastAsia="Calibri" w:hAnsi="Calibri" w:cs="Times New Roman"/>
          <w:color w:val="auto"/>
          <w:sz w:val="22"/>
          <w:szCs w:val="22"/>
        </w:rPr>
      </w:pPr>
      <w:r>
        <w:rPr>
          <w:rFonts w:ascii="Calibri" w:eastAsia="Calibri" w:hAnsi="Calibri" w:cs="Times New Roman"/>
          <w:color w:val="auto"/>
          <w:sz w:val="22"/>
          <w:szCs w:val="22"/>
        </w:rPr>
        <w:t xml:space="preserve">In de meerderheid van de controleverklaringen van </w:t>
      </w:r>
      <w:proofErr w:type="spellStart"/>
      <w:r>
        <w:rPr>
          <w:rFonts w:ascii="Calibri" w:eastAsia="Calibri" w:hAnsi="Calibri" w:cs="Times New Roman"/>
          <w:color w:val="auto"/>
          <w:sz w:val="22"/>
          <w:szCs w:val="22"/>
        </w:rPr>
        <w:t>oob’s</w:t>
      </w:r>
      <w:proofErr w:type="spellEnd"/>
      <w:r>
        <w:rPr>
          <w:rFonts w:ascii="Calibri" w:eastAsia="Calibri" w:hAnsi="Calibri" w:cs="Times New Roman"/>
          <w:color w:val="auto"/>
          <w:sz w:val="22"/>
          <w:szCs w:val="22"/>
        </w:rPr>
        <w:t xml:space="preserve"> verwijst de accountant ook naar de toelichting in de jaarrekening, bij niet-</w:t>
      </w:r>
      <w:proofErr w:type="spellStart"/>
      <w:r>
        <w:rPr>
          <w:rFonts w:ascii="Calibri" w:eastAsia="Calibri" w:hAnsi="Calibri" w:cs="Times New Roman"/>
          <w:color w:val="auto"/>
          <w:sz w:val="22"/>
          <w:szCs w:val="22"/>
        </w:rPr>
        <w:t>oob’s</w:t>
      </w:r>
      <w:proofErr w:type="spellEnd"/>
      <w:r>
        <w:rPr>
          <w:rFonts w:ascii="Calibri" w:eastAsia="Calibri" w:hAnsi="Calibri" w:cs="Times New Roman"/>
          <w:color w:val="auto"/>
          <w:sz w:val="22"/>
          <w:szCs w:val="22"/>
        </w:rPr>
        <w:t xml:space="preserve"> is dit circa in een derde van de controleverklaringen opgenomen. </w:t>
      </w:r>
    </w:p>
    <w:p w14:paraId="78554AFA" w14:textId="77777777" w:rsidR="00F305DF" w:rsidRDefault="00F305DF" w:rsidP="00D578E6">
      <w:pPr>
        <w:pStyle w:val="Default"/>
        <w:numPr>
          <w:ilvl w:val="0"/>
          <w:numId w:val="18"/>
        </w:numPr>
        <w:ind w:left="284" w:hanging="284"/>
        <w:rPr>
          <w:rFonts w:ascii="Calibri" w:eastAsia="Calibri" w:hAnsi="Calibri" w:cs="Times New Roman"/>
          <w:color w:val="auto"/>
          <w:sz w:val="22"/>
          <w:szCs w:val="22"/>
        </w:rPr>
      </w:pPr>
      <w:r>
        <w:rPr>
          <w:rFonts w:ascii="Calibri" w:eastAsia="Calibri" w:hAnsi="Calibri" w:cs="Times New Roman"/>
          <w:color w:val="auto"/>
          <w:sz w:val="22"/>
          <w:szCs w:val="22"/>
        </w:rPr>
        <w:t>De rapportages zijn dus slechts beperkt cliënt-specifiek</w:t>
      </w:r>
    </w:p>
    <w:p w14:paraId="7B2A5F03" w14:textId="77777777" w:rsidR="00F305DF" w:rsidRDefault="00F305DF" w:rsidP="00D578E6">
      <w:pPr>
        <w:pStyle w:val="Default"/>
        <w:numPr>
          <w:ilvl w:val="0"/>
          <w:numId w:val="18"/>
        </w:numPr>
        <w:ind w:left="284" w:hanging="284"/>
        <w:rPr>
          <w:rFonts w:ascii="Calibri" w:eastAsia="Calibri" w:hAnsi="Calibri" w:cs="Times New Roman"/>
          <w:color w:val="auto"/>
          <w:sz w:val="22"/>
          <w:szCs w:val="22"/>
        </w:rPr>
      </w:pPr>
      <w:r>
        <w:rPr>
          <w:rFonts w:ascii="Calibri" w:eastAsia="Calibri" w:hAnsi="Calibri" w:cs="Times New Roman"/>
          <w:color w:val="auto"/>
          <w:sz w:val="22"/>
          <w:szCs w:val="22"/>
        </w:rPr>
        <w:t>Er zijn nauwelijks kernpunten ten aanzien van continuïteit opgenomen</w:t>
      </w:r>
    </w:p>
    <w:p w14:paraId="238C0295" w14:textId="77777777" w:rsidR="00F305DF" w:rsidRDefault="00F305DF" w:rsidP="00D578E6">
      <w:pPr>
        <w:pStyle w:val="Default"/>
        <w:numPr>
          <w:ilvl w:val="0"/>
          <w:numId w:val="18"/>
        </w:numPr>
        <w:ind w:left="284" w:hanging="284"/>
        <w:rPr>
          <w:rFonts w:ascii="Calibri" w:eastAsia="Calibri" w:hAnsi="Calibri" w:cs="Times New Roman"/>
          <w:color w:val="auto"/>
          <w:sz w:val="22"/>
          <w:szCs w:val="22"/>
        </w:rPr>
      </w:pPr>
      <w:r>
        <w:rPr>
          <w:rFonts w:ascii="Calibri" w:eastAsia="Calibri" w:hAnsi="Calibri" w:cs="Times New Roman"/>
          <w:color w:val="auto"/>
          <w:sz w:val="22"/>
          <w:szCs w:val="22"/>
        </w:rPr>
        <w:t>Wel zeer specifieke rapportage bij een materiele onzekerheid (Standaard 570 van toepassing)</w:t>
      </w:r>
    </w:p>
    <w:p w14:paraId="4D4BD7C8" w14:textId="2E1A22D0" w:rsidR="00F305DF" w:rsidRDefault="00F305DF" w:rsidP="00D578E6">
      <w:pPr>
        <w:pStyle w:val="Default"/>
        <w:numPr>
          <w:ilvl w:val="0"/>
          <w:numId w:val="18"/>
        </w:numPr>
        <w:ind w:left="284" w:hanging="284"/>
        <w:rPr>
          <w:rFonts w:ascii="Calibri" w:eastAsia="Calibri" w:hAnsi="Calibri" w:cs="Times New Roman"/>
          <w:color w:val="auto"/>
          <w:sz w:val="22"/>
          <w:szCs w:val="22"/>
        </w:rPr>
      </w:pPr>
      <w:r>
        <w:rPr>
          <w:rFonts w:ascii="Calibri" w:eastAsia="Calibri" w:hAnsi="Calibri" w:cs="Times New Roman"/>
          <w:color w:val="auto"/>
          <w:sz w:val="22"/>
          <w:szCs w:val="22"/>
        </w:rPr>
        <w:t xml:space="preserve">In bijna alle gevallen wordt een bevinding of conclusie opgenomen ten aanzien van de </w:t>
      </w:r>
      <w:r w:rsidR="00B22B01">
        <w:rPr>
          <w:rFonts w:ascii="Calibri" w:eastAsia="Calibri" w:hAnsi="Calibri" w:cs="Times New Roman"/>
          <w:color w:val="auto"/>
          <w:sz w:val="22"/>
          <w:szCs w:val="22"/>
        </w:rPr>
        <w:t>continuïteits</w:t>
      </w:r>
      <w:r>
        <w:rPr>
          <w:rFonts w:ascii="Calibri" w:eastAsia="Calibri" w:hAnsi="Calibri" w:cs="Times New Roman"/>
          <w:color w:val="auto"/>
          <w:sz w:val="22"/>
          <w:szCs w:val="22"/>
        </w:rPr>
        <w:t xml:space="preserve">veronderstelling in de controleverklaring </w:t>
      </w:r>
    </w:p>
    <w:p w14:paraId="71A202B3" w14:textId="7EF76539" w:rsidR="00F305DF" w:rsidRDefault="00F305DF" w:rsidP="00D578E6">
      <w:pPr>
        <w:pStyle w:val="Default"/>
        <w:numPr>
          <w:ilvl w:val="0"/>
          <w:numId w:val="18"/>
        </w:numPr>
        <w:ind w:left="284" w:hanging="284"/>
        <w:rPr>
          <w:rFonts w:ascii="Calibri" w:eastAsia="Calibri" w:hAnsi="Calibri" w:cs="Times New Roman"/>
          <w:color w:val="auto"/>
          <w:sz w:val="22"/>
          <w:szCs w:val="22"/>
        </w:rPr>
      </w:pPr>
      <w:r>
        <w:rPr>
          <w:rFonts w:ascii="Calibri" w:eastAsia="Calibri" w:hAnsi="Calibri" w:cs="Times New Roman"/>
          <w:color w:val="auto"/>
          <w:sz w:val="22"/>
          <w:szCs w:val="22"/>
        </w:rPr>
        <w:t xml:space="preserve">In slechts enkele gevallen rapporteert de onderneming expliciet over </w:t>
      </w:r>
      <w:r w:rsidR="00B22B01">
        <w:rPr>
          <w:rFonts w:ascii="Calibri" w:eastAsia="Calibri" w:hAnsi="Calibri" w:cs="Times New Roman"/>
          <w:color w:val="auto"/>
          <w:sz w:val="22"/>
          <w:szCs w:val="22"/>
        </w:rPr>
        <w:t>continuïteit</w:t>
      </w:r>
      <w:r>
        <w:rPr>
          <w:rFonts w:ascii="Calibri" w:eastAsia="Calibri" w:hAnsi="Calibri" w:cs="Times New Roman"/>
          <w:color w:val="auto"/>
          <w:sz w:val="22"/>
          <w:szCs w:val="22"/>
        </w:rPr>
        <w:t xml:space="preserve">srisico’s, meestal worden er strategische risico’s benoemd welke wel impact kunnen hebben op de </w:t>
      </w:r>
      <w:r w:rsidR="00B22B01">
        <w:rPr>
          <w:rFonts w:ascii="Calibri" w:eastAsia="Calibri" w:hAnsi="Calibri" w:cs="Times New Roman"/>
          <w:color w:val="auto"/>
          <w:sz w:val="22"/>
          <w:szCs w:val="22"/>
        </w:rPr>
        <w:t>continuïteit</w:t>
      </w:r>
      <w:r>
        <w:rPr>
          <w:rFonts w:ascii="Calibri" w:eastAsia="Calibri" w:hAnsi="Calibri" w:cs="Times New Roman"/>
          <w:color w:val="auto"/>
          <w:sz w:val="22"/>
          <w:szCs w:val="22"/>
        </w:rPr>
        <w:t xml:space="preserve"> van de onderneming</w:t>
      </w:r>
    </w:p>
    <w:p w14:paraId="6F4E6E35" w14:textId="48F57C40" w:rsidR="00F305DF" w:rsidRDefault="00F305DF" w:rsidP="00D578E6">
      <w:pPr>
        <w:pStyle w:val="Default"/>
        <w:numPr>
          <w:ilvl w:val="0"/>
          <w:numId w:val="18"/>
        </w:numPr>
        <w:ind w:left="284" w:hanging="284"/>
        <w:rPr>
          <w:rFonts w:ascii="Calibri" w:eastAsia="Calibri" w:hAnsi="Calibri" w:cs="Times New Roman"/>
          <w:color w:val="auto"/>
          <w:sz w:val="22"/>
          <w:szCs w:val="22"/>
        </w:rPr>
      </w:pPr>
      <w:r>
        <w:rPr>
          <w:rFonts w:ascii="Calibri" w:eastAsia="Calibri" w:hAnsi="Calibri" w:cs="Times New Roman"/>
          <w:color w:val="auto"/>
          <w:sz w:val="22"/>
          <w:szCs w:val="22"/>
        </w:rPr>
        <w:t xml:space="preserve">De NBA heeft er geen zicht op of voor niet </w:t>
      </w:r>
      <w:proofErr w:type="spellStart"/>
      <w:r>
        <w:rPr>
          <w:rFonts w:ascii="Calibri" w:eastAsia="Calibri" w:hAnsi="Calibri" w:cs="Times New Roman"/>
          <w:color w:val="auto"/>
          <w:sz w:val="22"/>
          <w:szCs w:val="22"/>
        </w:rPr>
        <w:t>wta</w:t>
      </w:r>
      <w:proofErr w:type="spellEnd"/>
      <w:r>
        <w:rPr>
          <w:rFonts w:ascii="Calibri" w:eastAsia="Calibri" w:hAnsi="Calibri" w:cs="Times New Roman"/>
          <w:color w:val="auto"/>
          <w:sz w:val="22"/>
          <w:szCs w:val="22"/>
        </w:rPr>
        <w:t xml:space="preserve">-controles vrijwillig is gerapporteerd over </w:t>
      </w:r>
      <w:r w:rsidR="00B22B01">
        <w:rPr>
          <w:rFonts w:ascii="Calibri" w:eastAsia="Calibri" w:hAnsi="Calibri" w:cs="Times New Roman"/>
          <w:color w:val="auto"/>
          <w:sz w:val="22"/>
          <w:szCs w:val="22"/>
        </w:rPr>
        <w:t>continuïteit</w:t>
      </w:r>
      <w:r>
        <w:rPr>
          <w:rFonts w:ascii="Calibri" w:eastAsia="Calibri" w:hAnsi="Calibri" w:cs="Times New Roman"/>
          <w:color w:val="auto"/>
          <w:sz w:val="22"/>
          <w:szCs w:val="22"/>
        </w:rPr>
        <w:t xml:space="preserve">.  </w:t>
      </w:r>
    </w:p>
    <w:p w14:paraId="2406EDBA" w14:textId="77777777" w:rsidR="0005037B" w:rsidRDefault="0005037B" w:rsidP="00D578E6">
      <w:pPr>
        <w:pStyle w:val="Default"/>
        <w:rPr>
          <w:rFonts w:ascii="Calibri" w:eastAsia="Calibri" w:hAnsi="Calibri" w:cs="Times New Roman"/>
          <w:color w:val="auto"/>
          <w:sz w:val="22"/>
          <w:szCs w:val="22"/>
        </w:rPr>
      </w:pPr>
    </w:p>
    <w:p w14:paraId="09E1F3B5" w14:textId="77777777" w:rsidR="00814144" w:rsidRDefault="00814144" w:rsidP="00D578E6">
      <w:pPr>
        <w:pStyle w:val="Default"/>
        <w:rPr>
          <w:rFonts w:ascii="Calibri" w:eastAsia="Calibri" w:hAnsi="Calibri" w:cs="Times New Roman"/>
          <w:i/>
          <w:iCs/>
          <w:color w:val="auto"/>
          <w:sz w:val="22"/>
          <w:szCs w:val="22"/>
        </w:rPr>
      </w:pPr>
    </w:p>
    <w:p w14:paraId="0DD59F7D" w14:textId="645B7A3F" w:rsidR="00814144" w:rsidRPr="0005037B" w:rsidRDefault="00814144" w:rsidP="00D578E6">
      <w:pPr>
        <w:pStyle w:val="Default"/>
        <w:rPr>
          <w:rFonts w:ascii="Calibri" w:eastAsia="Calibri" w:hAnsi="Calibri" w:cs="Times New Roman"/>
          <w:i/>
          <w:iCs/>
          <w:color w:val="auto"/>
          <w:sz w:val="22"/>
          <w:szCs w:val="22"/>
        </w:rPr>
      </w:pPr>
    </w:p>
    <w:p w14:paraId="3C5F87FC" w14:textId="77777777" w:rsidR="0005037B" w:rsidRDefault="0005037B" w:rsidP="00D578E6">
      <w:pPr>
        <w:pStyle w:val="Default"/>
        <w:rPr>
          <w:rFonts w:ascii="Calibri" w:eastAsia="Calibri" w:hAnsi="Calibri" w:cs="Times New Roman"/>
          <w:color w:val="auto"/>
          <w:sz w:val="22"/>
          <w:szCs w:val="22"/>
        </w:rPr>
      </w:pPr>
    </w:p>
    <w:p w14:paraId="2EE6D7B9" w14:textId="77777777" w:rsidR="00F305DF" w:rsidRPr="00232145" w:rsidRDefault="00F305DF" w:rsidP="00D578E6">
      <w:pPr>
        <w:pStyle w:val="Default"/>
        <w:rPr>
          <w:rFonts w:ascii="Calibri" w:eastAsia="Calibri" w:hAnsi="Calibri" w:cs="Times New Roman"/>
          <w:color w:val="auto"/>
          <w:sz w:val="22"/>
          <w:szCs w:val="22"/>
        </w:rPr>
      </w:pPr>
    </w:p>
    <w:p w14:paraId="7C169704" w14:textId="77777777" w:rsidR="00F305DF" w:rsidRPr="00BB4BF2" w:rsidRDefault="00F305DF" w:rsidP="00D578E6">
      <w:pPr>
        <w:pStyle w:val="Default"/>
        <w:rPr>
          <w:rFonts w:ascii="Calibri" w:eastAsia="Calibri" w:hAnsi="Calibri" w:cs="Times New Roman"/>
          <w:color w:val="auto"/>
          <w:sz w:val="22"/>
          <w:szCs w:val="22"/>
        </w:rPr>
      </w:pPr>
    </w:p>
    <w:p w14:paraId="150DC149" w14:textId="77777777" w:rsidR="00D80E2D" w:rsidRPr="00B16DED" w:rsidRDefault="00D80E2D" w:rsidP="00D578E6">
      <w:pPr>
        <w:autoSpaceDE w:val="0"/>
        <w:autoSpaceDN w:val="0"/>
        <w:adjustRightInd w:val="0"/>
        <w:spacing w:after="0" w:line="240" w:lineRule="auto"/>
      </w:pPr>
    </w:p>
    <w:p w14:paraId="75DB06FF" w14:textId="70A741DF" w:rsidR="00183EB2" w:rsidRDefault="00183EB2" w:rsidP="00D578E6">
      <w:pPr>
        <w:spacing w:line="240" w:lineRule="auto"/>
        <w:rPr>
          <w:rFonts w:asciiTheme="minorHAnsi" w:hAnsiTheme="minorHAnsi" w:cstheme="minorHAnsi"/>
          <w:b/>
          <w:bCs/>
          <w:szCs w:val="28"/>
        </w:rPr>
      </w:pPr>
    </w:p>
    <w:sectPr w:rsidR="00183EB2">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89EE3" w14:textId="77777777" w:rsidR="00D06786" w:rsidRDefault="00D06786" w:rsidP="00A7082E">
      <w:pPr>
        <w:spacing w:after="0" w:line="240" w:lineRule="auto"/>
      </w:pPr>
      <w:r>
        <w:separator/>
      </w:r>
    </w:p>
  </w:endnote>
  <w:endnote w:type="continuationSeparator" w:id="0">
    <w:p w14:paraId="56397E7C" w14:textId="77777777" w:rsidR="00D06786" w:rsidRDefault="00D06786" w:rsidP="00A7082E">
      <w:pPr>
        <w:spacing w:after="0" w:line="240" w:lineRule="auto"/>
      </w:pPr>
      <w:r>
        <w:continuationSeparator/>
      </w:r>
    </w:p>
  </w:endnote>
  <w:endnote w:type="continuationNotice" w:id="1">
    <w:p w14:paraId="4A9B71A8" w14:textId="77777777" w:rsidR="00D06786" w:rsidRDefault="00D067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eXGyreHeros-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f1k1ujbb-14gi-eay-1kwo6vgaau9pf">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12nyy2a-zpg-dtk-1zlelai78mshp">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818970"/>
      <w:docPartObj>
        <w:docPartGallery w:val="Page Numbers (Bottom of Page)"/>
        <w:docPartUnique/>
      </w:docPartObj>
    </w:sdtPr>
    <w:sdtContent>
      <w:p w14:paraId="2FC73BBC" w14:textId="30FD3005" w:rsidR="00D6298E" w:rsidRDefault="00D6298E">
        <w:pPr>
          <w:pStyle w:val="Voettekst"/>
          <w:jc w:val="center"/>
        </w:pPr>
        <w:r>
          <w:fldChar w:fldCharType="begin"/>
        </w:r>
        <w:r>
          <w:instrText>PAGE   \* MERGEFORMAT</w:instrText>
        </w:r>
        <w:r>
          <w:fldChar w:fldCharType="separate"/>
        </w:r>
        <w:r>
          <w:t>2</w:t>
        </w:r>
        <w:r>
          <w:fldChar w:fldCharType="end"/>
        </w:r>
      </w:p>
    </w:sdtContent>
  </w:sdt>
  <w:p w14:paraId="60ABFE94" w14:textId="77777777" w:rsidR="00891986" w:rsidRDefault="008919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DD421" w14:textId="77777777" w:rsidR="00D06786" w:rsidRDefault="00D06786" w:rsidP="00A7082E">
      <w:pPr>
        <w:spacing w:after="0" w:line="240" w:lineRule="auto"/>
      </w:pPr>
      <w:r>
        <w:separator/>
      </w:r>
    </w:p>
  </w:footnote>
  <w:footnote w:type="continuationSeparator" w:id="0">
    <w:p w14:paraId="6E6B822F" w14:textId="77777777" w:rsidR="00D06786" w:rsidRDefault="00D06786" w:rsidP="00A7082E">
      <w:pPr>
        <w:spacing w:after="0" w:line="240" w:lineRule="auto"/>
      </w:pPr>
      <w:r>
        <w:continuationSeparator/>
      </w:r>
    </w:p>
  </w:footnote>
  <w:footnote w:type="continuationNotice" w:id="1">
    <w:p w14:paraId="79001693" w14:textId="77777777" w:rsidR="00D06786" w:rsidRDefault="00D06786">
      <w:pPr>
        <w:spacing w:after="0" w:line="240" w:lineRule="auto"/>
      </w:pPr>
    </w:p>
  </w:footnote>
  <w:footnote w:id="2">
    <w:p w14:paraId="1EFCF32D" w14:textId="33BACD88" w:rsidR="00A7082E" w:rsidRDefault="00A7082E">
      <w:pPr>
        <w:pStyle w:val="Voetnoottekst"/>
      </w:pPr>
      <w:r>
        <w:rPr>
          <w:rStyle w:val="Voetnootmarkering"/>
        </w:rPr>
        <w:footnoteRef/>
      </w:r>
      <w:r>
        <w:t xml:space="preserve"> </w:t>
      </w:r>
      <w:hyperlink r:id="rId1" w:history="1">
        <w:r w:rsidR="00CA1A5E">
          <w:rPr>
            <w:rStyle w:val="Hyperlink"/>
          </w:rPr>
          <w:t>rapportering-over-fraude-in-de-controleverklaring-2022.pdf</w:t>
        </w:r>
      </w:hyperlink>
    </w:p>
    <w:p w14:paraId="0FE84F61" w14:textId="206B98AD" w:rsidR="00CA1A5E" w:rsidRDefault="00000000">
      <w:pPr>
        <w:pStyle w:val="Voetnoottekst"/>
      </w:pPr>
      <w:hyperlink r:id="rId2" w:history="1">
        <w:r w:rsidR="00DE12CA">
          <w:rPr>
            <w:rStyle w:val="Hyperlink"/>
          </w:rPr>
          <w:t>2024020_nba_onderzoek-continuiteit-in-de-controleverklaring-2022_1.pdf</w:t>
        </w:r>
      </w:hyperlink>
    </w:p>
  </w:footnote>
  <w:footnote w:id="3">
    <w:p w14:paraId="3C9FEF59" w14:textId="615314ED" w:rsidR="00850137" w:rsidRDefault="00850137">
      <w:pPr>
        <w:pStyle w:val="Voetnoottekst"/>
      </w:pPr>
      <w:r>
        <w:rPr>
          <w:rStyle w:val="Voetnootmarkering"/>
        </w:rPr>
        <w:footnoteRef/>
      </w:r>
      <w:r>
        <w:t xml:space="preserve"> </w:t>
      </w:r>
      <w:hyperlink r:id="rId3" w:history="1">
        <w:r w:rsidRPr="00850137">
          <w:rPr>
            <w:rStyle w:val="Hyperlink"/>
          </w:rPr>
          <w:t>Bestuursbesluit verplichte rapportage continuïteit en fraude (nba.nl)</w:t>
        </w:r>
      </w:hyperlink>
    </w:p>
  </w:footnote>
  <w:footnote w:id="4">
    <w:p w14:paraId="6C755421" w14:textId="1100AC71" w:rsidR="001761B7" w:rsidRDefault="001761B7">
      <w:pPr>
        <w:pStyle w:val="Voetnoottekst"/>
      </w:pPr>
      <w:r>
        <w:rPr>
          <w:rStyle w:val="Voetnootmarkering"/>
        </w:rPr>
        <w:footnoteRef/>
      </w:r>
      <w:r>
        <w:t xml:space="preserve"> </w:t>
      </w:r>
      <w:hyperlink r:id="rId4" w:history="1">
        <w:r w:rsidR="0096013E" w:rsidRPr="0096013E">
          <w:rPr>
            <w:rStyle w:val="Hyperlink"/>
          </w:rPr>
          <w:t xml:space="preserve">NBA reageert op Exposure Draft nieuwe Standaard 570 - </w:t>
        </w:r>
        <w:proofErr w:type="spellStart"/>
        <w:r w:rsidR="0096013E" w:rsidRPr="0096013E">
          <w:rPr>
            <w:rStyle w:val="Hyperlink"/>
          </w:rPr>
          <w:t>Going</w:t>
        </w:r>
        <w:proofErr w:type="spellEnd"/>
        <w:r w:rsidR="0096013E" w:rsidRPr="0096013E">
          <w:rPr>
            <w:rStyle w:val="Hyperlink"/>
          </w:rPr>
          <w:t xml:space="preserve"> Concern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1FE5"/>
    <w:multiLevelType w:val="hybridMultilevel"/>
    <w:tmpl w:val="E3248EC8"/>
    <w:lvl w:ilvl="0" w:tplc="94562822">
      <w:numFmt w:val="bullet"/>
      <w:lvlText w:val="-"/>
      <w:lvlJc w:val="left"/>
      <w:pPr>
        <w:ind w:left="360" w:hanging="360"/>
      </w:pPr>
      <w:rPr>
        <w:rFonts w:ascii="TeXGyreHeros-Regular" w:eastAsiaTheme="minorHAnsi" w:hAnsi="TeXGyreHeros-Regular" w:cs="TeXGyreHeros-Regular"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B474C5"/>
    <w:multiLevelType w:val="hybridMultilevel"/>
    <w:tmpl w:val="E24AB5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BD9BC1F"/>
    <w:multiLevelType w:val="hybridMultilevel"/>
    <w:tmpl w:val="FFFFFFFF"/>
    <w:lvl w:ilvl="0" w:tplc="FEAE09E4">
      <w:start w:val="1"/>
      <w:numFmt w:val="decimal"/>
      <w:lvlText w:val="%1."/>
      <w:lvlJc w:val="left"/>
      <w:pPr>
        <w:ind w:left="720" w:hanging="360"/>
      </w:pPr>
    </w:lvl>
    <w:lvl w:ilvl="1" w:tplc="C17A183A">
      <w:start w:val="1"/>
      <w:numFmt w:val="lowerLetter"/>
      <w:lvlText w:val="%2."/>
      <w:lvlJc w:val="left"/>
      <w:pPr>
        <w:ind w:left="1440" w:hanging="360"/>
      </w:pPr>
    </w:lvl>
    <w:lvl w:ilvl="2" w:tplc="E7B84062">
      <w:start w:val="1"/>
      <w:numFmt w:val="lowerRoman"/>
      <w:lvlText w:val="%3."/>
      <w:lvlJc w:val="right"/>
      <w:pPr>
        <w:ind w:left="2160" w:hanging="180"/>
      </w:pPr>
    </w:lvl>
    <w:lvl w:ilvl="3" w:tplc="54965674">
      <w:start w:val="1"/>
      <w:numFmt w:val="decimal"/>
      <w:lvlText w:val="%4."/>
      <w:lvlJc w:val="left"/>
      <w:pPr>
        <w:ind w:left="2880" w:hanging="360"/>
      </w:pPr>
    </w:lvl>
    <w:lvl w:ilvl="4" w:tplc="085CF2C6">
      <w:start w:val="1"/>
      <w:numFmt w:val="lowerLetter"/>
      <w:lvlText w:val="%5."/>
      <w:lvlJc w:val="left"/>
      <w:pPr>
        <w:ind w:left="3600" w:hanging="360"/>
      </w:pPr>
    </w:lvl>
    <w:lvl w:ilvl="5" w:tplc="33942280">
      <w:start w:val="1"/>
      <w:numFmt w:val="lowerRoman"/>
      <w:lvlText w:val="%6."/>
      <w:lvlJc w:val="right"/>
      <w:pPr>
        <w:ind w:left="4320" w:hanging="180"/>
      </w:pPr>
    </w:lvl>
    <w:lvl w:ilvl="6" w:tplc="0CD48092">
      <w:start w:val="1"/>
      <w:numFmt w:val="decimal"/>
      <w:lvlText w:val="%7."/>
      <w:lvlJc w:val="left"/>
      <w:pPr>
        <w:ind w:left="5040" w:hanging="360"/>
      </w:pPr>
    </w:lvl>
    <w:lvl w:ilvl="7" w:tplc="03A2AA48">
      <w:start w:val="1"/>
      <w:numFmt w:val="lowerLetter"/>
      <w:lvlText w:val="%8."/>
      <w:lvlJc w:val="left"/>
      <w:pPr>
        <w:ind w:left="5760" w:hanging="360"/>
      </w:pPr>
    </w:lvl>
    <w:lvl w:ilvl="8" w:tplc="15C476B8">
      <w:start w:val="1"/>
      <w:numFmt w:val="lowerRoman"/>
      <w:lvlText w:val="%9."/>
      <w:lvlJc w:val="right"/>
      <w:pPr>
        <w:ind w:left="6480" w:hanging="180"/>
      </w:pPr>
    </w:lvl>
  </w:abstractNum>
  <w:abstractNum w:abstractNumId="3" w15:restartNumberingAfterBreak="0">
    <w:nsid w:val="13D75BF0"/>
    <w:multiLevelType w:val="hybridMultilevel"/>
    <w:tmpl w:val="9FC84DC8"/>
    <w:lvl w:ilvl="0" w:tplc="FFFFFFFF">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63A6949"/>
    <w:multiLevelType w:val="hybridMultilevel"/>
    <w:tmpl w:val="7E1EA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9E42B4"/>
    <w:multiLevelType w:val="hybridMultilevel"/>
    <w:tmpl w:val="0128C7B4"/>
    <w:lvl w:ilvl="0" w:tplc="795E84E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E500B8B"/>
    <w:multiLevelType w:val="hybridMultilevel"/>
    <w:tmpl w:val="D7D80AE8"/>
    <w:lvl w:ilvl="0" w:tplc="F82685E2">
      <w:numFmt w:val="bullet"/>
      <w:lvlText w:val="-"/>
      <w:lvlJc w:val="left"/>
      <w:pPr>
        <w:ind w:left="360" w:hanging="360"/>
      </w:pPr>
      <w:rPr>
        <w:rFonts w:ascii="TeXGyreHeros-Regular" w:eastAsiaTheme="minorHAnsi" w:hAnsi="TeXGyreHeros-Regular" w:cs="TeXGyreHeros-Regular"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EBD62AB"/>
    <w:multiLevelType w:val="hybridMultilevel"/>
    <w:tmpl w:val="BF0CE1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1343DF"/>
    <w:multiLevelType w:val="hybridMultilevel"/>
    <w:tmpl w:val="2C5299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C85380"/>
    <w:multiLevelType w:val="hybridMultilevel"/>
    <w:tmpl w:val="4F086034"/>
    <w:lvl w:ilvl="0" w:tplc="FFFFFFFF">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136530"/>
    <w:multiLevelType w:val="multilevel"/>
    <w:tmpl w:val="C916081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C22FAE"/>
    <w:multiLevelType w:val="hybridMultilevel"/>
    <w:tmpl w:val="A6741E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9A4DAE"/>
    <w:multiLevelType w:val="hybridMultilevel"/>
    <w:tmpl w:val="023C0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E23035"/>
    <w:multiLevelType w:val="hybridMultilevel"/>
    <w:tmpl w:val="394EC1AE"/>
    <w:lvl w:ilvl="0" w:tplc="FFFFFFFF">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B880494"/>
    <w:multiLevelType w:val="hybridMultilevel"/>
    <w:tmpl w:val="8D92BC18"/>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E04C3F"/>
    <w:multiLevelType w:val="hybridMultilevel"/>
    <w:tmpl w:val="C3E013AA"/>
    <w:lvl w:ilvl="0" w:tplc="4C888A44">
      <w:start w:val="1"/>
      <w:numFmt w:val="decimal"/>
      <w:lvlText w:val="%1."/>
      <w:lvlJc w:val="left"/>
      <w:pPr>
        <w:ind w:left="1068" w:hanging="708"/>
      </w:pPr>
      <w:rPr>
        <w:rFonts w:hint="default"/>
      </w:rPr>
    </w:lvl>
    <w:lvl w:ilvl="1" w:tplc="B0EA6E7E">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B80EDA"/>
    <w:multiLevelType w:val="hybridMultilevel"/>
    <w:tmpl w:val="4E02F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5D92A42"/>
    <w:multiLevelType w:val="hybridMultilevel"/>
    <w:tmpl w:val="76C4ACBC"/>
    <w:lvl w:ilvl="0" w:tplc="C55E2BBE">
      <w:start w:val="4"/>
      <w:numFmt w:val="bullet"/>
      <w:lvlText w:val="-"/>
      <w:lvlJc w:val="left"/>
      <w:pPr>
        <w:ind w:left="360" w:hanging="360"/>
      </w:pPr>
      <w:rPr>
        <w:rFonts w:ascii="Calibri" w:eastAsia="Calibri" w:hAnsi="Calibri" w:cs="Calibri" w:hint="default"/>
        <w:b w:val="0"/>
        <w:i w:val="0"/>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AC46203"/>
    <w:multiLevelType w:val="hybridMultilevel"/>
    <w:tmpl w:val="0D5CE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F7D1443"/>
    <w:multiLevelType w:val="hybridMultilevel"/>
    <w:tmpl w:val="9036D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00B5F20"/>
    <w:multiLevelType w:val="hybridMultilevel"/>
    <w:tmpl w:val="A5DA399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440309C"/>
    <w:multiLevelType w:val="hybridMultilevel"/>
    <w:tmpl w:val="C85642F2"/>
    <w:lvl w:ilvl="0" w:tplc="02302A0E">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483A89"/>
    <w:multiLevelType w:val="hybridMultilevel"/>
    <w:tmpl w:val="5CE67326"/>
    <w:lvl w:ilvl="0" w:tplc="02302A0E">
      <w:start w:val="6"/>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A505771"/>
    <w:multiLevelType w:val="hybridMultilevel"/>
    <w:tmpl w:val="0A64E37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B323DF"/>
    <w:multiLevelType w:val="hybridMultilevel"/>
    <w:tmpl w:val="C4D25270"/>
    <w:lvl w:ilvl="0" w:tplc="13AAE004">
      <w:start w:val="1"/>
      <w:numFmt w:val="bullet"/>
      <w:lvlText w:val=""/>
      <w:lvlJc w:val="left"/>
      <w:pPr>
        <w:ind w:left="1080" w:hanging="360"/>
      </w:pPr>
      <w:rPr>
        <w:rFonts w:ascii="Symbol" w:hAnsi="Symbol"/>
      </w:rPr>
    </w:lvl>
    <w:lvl w:ilvl="1" w:tplc="74D45F20">
      <w:start w:val="1"/>
      <w:numFmt w:val="bullet"/>
      <w:lvlText w:val=""/>
      <w:lvlJc w:val="left"/>
      <w:pPr>
        <w:ind w:left="1080" w:hanging="360"/>
      </w:pPr>
      <w:rPr>
        <w:rFonts w:ascii="Symbol" w:hAnsi="Symbol"/>
      </w:rPr>
    </w:lvl>
    <w:lvl w:ilvl="2" w:tplc="A342B85C">
      <w:start w:val="1"/>
      <w:numFmt w:val="bullet"/>
      <w:lvlText w:val=""/>
      <w:lvlJc w:val="left"/>
      <w:pPr>
        <w:ind w:left="1080" w:hanging="360"/>
      </w:pPr>
      <w:rPr>
        <w:rFonts w:ascii="Symbol" w:hAnsi="Symbol"/>
      </w:rPr>
    </w:lvl>
    <w:lvl w:ilvl="3" w:tplc="357A1322">
      <w:start w:val="1"/>
      <w:numFmt w:val="bullet"/>
      <w:lvlText w:val=""/>
      <w:lvlJc w:val="left"/>
      <w:pPr>
        <w:ind w:left="1080" w:hanging="360"/>
      </w:pPr>
      <w:rPr>
        <w:rFonts w:ascii="Symbol" w:hAnsi="Symbol"/>
      </w:rPr>
    </w:lvl>
    <w:lvl w:ilvl="4" w:tplc="71AC670C">
      <w:start w:val="1"/>
      <w:numFmt w:val="bullet"/>
      <w:lvlText w:val=""/>
      <w:lvlJc w:val="left"/>
      <w:pPr>
        <w:ind w:left="1080" w:hanging="360"/>
      </w:pPr>
      <w:rPr>
        <w:rFonts w:ascii="Symbol" w:hAnsi="Symbol"/>
      </w:rPr>
    </w:lvl>
    <w:lvl w:ilvl="5" w:tplc="C6B6CBE2">
      <w:start w:val="1"/>
      <w:numFmt w:val="bullet"/>
      <w:lvlText w:val=""/>
      <w:lvlJc w:val="left"/>
      <w:pPr>
        <w:ind w:left="1080" w:hanging="360"/>
      </w:pPr>
      <w:rPr>
        <w:rFonts w:ascii="Symbol" w:hAnsi="Symbol"/>
      </w:rPr>
    </w:lvl>
    <w:lvl w:ilvl="6" w:tplc="217AAFF0">
      <w:start w:val="1"/>
      <w:numFmt w:val="bullet"/>
      <w:lvlText w:val=""/>
      <w:lvlJc w:val="left"/>
      <w:pPr>
        <w:ind w:left="1080" w:hanging="360"/>
      </w:pPr>
      <w:rPr>
        <w:rFonts w:ascii="Symbol" w:hAnsi="Symbol"/>
      </w:rPr>
    </w:lvl>
    <w:lvl w:ilvl="7" w:tplc="FE6044AC">
      <w:start w:val="1"/>
      <w:numFmt w:val="bullet"/>
      <w:lvlText w:val=""/>
      <w:lvlJc w:val="left"/>
      <w:pPr>
        <w:ind w:left="1080" w:hanging="360"/>
      </w:pPr>
      <w:rPr>
        <w:rFonts w:ascii="Symbol" w:hAnsi="Symbol"/>
      </w:rPr>
    </w:lvl>
    <w:lvl w:ilvl="8" w:tplc="E776242C">
      <w:start w:val="1"/>
      <w:numFmt w:val="bullet"/>
      <w:lvlText w:val=""/>
      <w:lvlJc w:val="left"/>
      <w:pPr>
        <w:ind w:left="1080" w:hanging="360"/>
      </w:pPr>
      <w:rPr>
        <w:rFonts w:ascii="Symbol" w:hAnsi="Symbol"/>
      </w:rPr>
    </w:lvl>
  </w:abstractNum>
  <w:abstractNum w:abstractNumId="25" w15:restartNumberingAfterBreak="0">
    <w:nsid w:val="6CA9662A"/>
    <w:multiLevelType w:val="hybridMultilevel"/>
    <w:tmpl w:val="52EA3D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210F94"/>
    <w:multiLevelType w:val="hybridMultilevel"/>
    <w:tmpl w:val="C2224E26"/>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F875F2D"/>
    <w:multiLevelType w:val="hybridMultilevel"/>
    <w:tmpl w:val="037034C0"/>
    <w:lvl w:ilvl="0" w:tplc="02302A0E">
      <w:start w:val="2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8518A1"/>
    <w:multiLevelType w:val="hybridMultilevel"/>
    <w:tmpl w:val="8D92BC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8426286">
    <w:abstractNumId w:val="2"/>
  </w:num>
  <w:num w:numId="2" w16cid:durableId="280843220">
    <w:abstractNumId w:val="19"/>
  </w:num>
  <w:num w:numId="3" w16cid:durableId="1183546922">
    <w:abstractNumId w:val="18"/>
  </w:num>
  <w:num w:numId="4" w16cid:durableId="114493783">
    <w:abstractNumId w:val="25"/>
  </w:num>
  <w:num w:numId="5" w16cid:durableId="1420131760">
    <w:abstractNumId w:val="15"/>
  </w:num>
  <w:num w:numId="6" w16cid:durableId="905066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4630625">
    <w:abstractNumId w:val="1"/>
  </w:num>
  <w:num w:numId="8" w16cid:durableId="151652099">
    <w:abstractNumId w:val="11"/>
  </w:num>
  <w:num w:numId="9" w16cid:durableId="589117892">
    <w:abstractNumId w:val="16"/>
  </w:num>
  <w:num w:numId="10" w16cid:durableId="1143347064">
    <w:abstractNumId w:val="23"/>
  </w:num>
  <w:num w:numId="11" w16cid:durableId="1940868728">
    <w:abstractNumId w:val="4"/>
  </w:num>
  <w:num w:numId="12" w16cid:durableId="962151195">
    <w:abstractNumId w:val="7"/>
  </w:num>
  <w:num w:numId="13" w16cid:durableId="1630746256">
    <w:abstractNumId w:val="3"/>
  </w:num>
  <w:num w:numId="14" w16cid:durableId="478616276">
    <w:abstractNumId w:val="27"/>
  </w:num>
  <w:num w:numId="15" w16cid:durableId="1152520861">
    <w:abstractNumId w:val="0"/>
  </w:num>
  <w:num w:numId="16" w16cid:durableId="72508268">
    <w:abstractNumId w:val="6"/>
  </w:num>
  <w:num w:numId="17" w16cid:durableId="1249994834">
    <w:abstractNumId w:val="21"/>
  </w:num>
  <w:num w:numId="18" w16cid:durableId="97140280">
    <w:abstractNumId w:val="22"/>
  </w:num>
  <w:num w:numId="19" w16cid:durableId="1435438483">
    <w:abstractNumId w:val="17"/>
  </w:num>
  <w:num w:numId="20" w16cid:durableId="490220722">
    <w:abstractNumId w:val="26"/>
  </w:num>
  <w:num w:numId="21" w16cid:durableId="1883905086">
    <w:abstractNumId w:val="5"/>
  </w:num>
  <w:num w:numId="22" w16cid:durableId="1903246102">
    <w:abstractNumId w:val="12"/>
  </w:num>
  <w:num w:numId="23" w16cid:durableId="71434510">
    <w:abstractNumId w:val="10"/>
  </w:num>
  <w:num w:numId="24" w16cid:durableId="1774469108">
    <w:abstractNumId w:val="14"/>
  </w:num>
  <w:num w:numId="25" w16cid:durableId="1282683147">
    <w:abstractNumId w:val="8"/>
  </w:num>
  <w:num w:numId="26" w16cid:durableId="186720580">
    <w:abstractNumId w:val="20"/>
  </w:num>
  <w:num w:numId="27" w16cid:durableId="302738304">
    <w:abstractNumId w:val="28"/>
  </w:num>
  <w:num w:numId="28" w16cid:durableId="1231766012">
    <w:abstractNumId w:val="9"/>
  </w:num>
  <w:num w:numId="29" w16cid:durableId="928344365">
    <w:abstractNumId w:val="13"/>
  </w:num>
  <w:num w:numId="30" w16cid:durableId="2816160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E5D"/>
    <w:rsid w:val="00006A95"/>
    <w:rsid w:val="0001243C"/>
    <w:rsid w:val="000129AB"/>
    <w:rsid w:val="00017F86"/>
    <w:rsid w:val="00022A9B"/>
    <w:rsid w:val="00027CB9"/>
    <w:rsid w:val="00030C58"/>
    <w:rsid w:val="0003115D"/>
    <w:rsid w:val="00031375"/>
    <w:rsid w:val="00031498"/>
    <w:rsid w:val="000334D6"/>
    <w:rsid w:val="000336C7"/>
    <w:rsid w:val="00041A88"/>
    <w:rsid w:val="00042D33"/>
    <w:rsid w:val="00044808"/>
    <w:rsid w:val="000453EF"/>
    <w:rsid w:val="0005037B"/>
    <w:rsid w:val="00051409"/>
    <w:rsid w:val="000517C1"/>
    <w:rsid w:val="00053E51"/>
    <w:rsid w:val="000562ED"/>
    <w:rsid w:val="0006321F"/>
    <w:rsid w:val="0006593B"/>
    <w:rsid w:val="00084C31"/>
    <w:rsid w:val="0008763E"/>
    <w:rsid w:val="0009048D"/>
    <w:rsid w:val="00092059"/>
    <w:rsid w:val="000A089A"/>
    <w:rsid w:val="000A19F3"/>
    <w:rsid w:val="000A2D8E"/>
    <w:rsid w:val="000A41D0"/>
    <w:rsid w:val="000A4E0A"/>
    <w:rsid w:val="000A67AD"/>
    <w:rsid w:val="000A6F0B"/>
    <w:rsid w:val="000B03A6"/>
    <w:rsid w:val="000B3AA4"/>
    <w:rsid w:val="000C0482"/>
    <w:rsid w:val="000C199C"/>
    <w:rsid w:val="000C28CE"/>
    <w:rsid w:val="000C31F2"/>
    <w:rsid w:val="000C498B"/>
    <w:rsid w:val="000C695A"/>
    <w:rsid w:val="000C6A7B"/>
    <w:rsid w:val="000D078B"/>
    <w:rsid w:val="000D33A9"/>
    <w:rsid w:val="000D5D1C"/>
    <w:rsid w:val="000D6C10"/>
    <w:rsid w:val="000E55AF"/>
    <w:rsid w:val="000E7E6C"/>
    <w:rsid w:val="000F0838"/>
    <w:rsid w:val="000F1F66"/>
    <w:rsid w:val="0010116F"/>
    <w:rsid w:val="001046D7"/>
    <w:rsid w:val="00105A6C"/>
    <w:rsid w:val="00110539"/>
    <w:rsid w:val="00110FFC"/>
    <w:rsid w:val="00112F08"/>
    <w:rsid w:val="001156CE"/>
    <w:rsid w:val="00117E3B"/>
    <w:rsid w:val="0012133F"/>
    <w:rsid w:val="0012339E"/>
    <w:rsid w:val="00123BFE"/>
    <w:rsid w:val="00123CEF"/>
    <w:rsid w:val="00130902"/>
    <w:rsid w:val="00132FBF"/>
    <w:rsid w:val="00134473"/>
    <w:rsid w:val="00144064"/>
    <w:rsid w:val="001441F4"/>
    <w:rsid w:val="00144287"/>
    <w:rsid w:val="00146173"/>
    <w:rsid w:val="00146A32"/>
    <w:rsid w:val="001472CF"/>
    <w:rsid w:val="0015168E"/>
    <w:rsid w:val="001539CF"/>
    <w:rsid w:val="00154992"/>
    <w:rsid w:val="001557B2"/>
    <w:rsid w:val="00156192"/>
    <w:rsid w:val="00157697"/>
    <w:rsid w:val="001604DF"/>
    <w:rsid w:val="00163178"/>
    <w:rsid w:val="00170E12"/>
    <w:rsid w:val="001732D1"/>
    <w:rsid w:val="001761B7"/>
    <w:rsid w:val="00180C08"/>
    <w:rsid w:val="001813B3"/>
    <w:rsid w:val="00183A77"/>
    <w:rsid w:val="00183BF2"/>
    <w:rsid w:val="00183EB2"/>
    <w:rsid w:val="001878C4"/>
    <w:rsid w:val="00192849"/>
    <w:rsid w:val="0019380F"/>
    <w:rsid w:val="00194E90"/>
    <w:rsid w:val="001A2E61"/>
    <w:rsid w:val="001A47F3"/>
    <w:rsid w:val="001A5934"/>
    <w:rsid w:val="001A6897"/>
    <w:rsid w:val="001A6E70"/>
    <w:rsid w:val="001B0135"/>
    <w:rsid w:val="001B0C28"/>
    <w:rsid w:val="001B26B3"/>
    <w:rsid w:val="001B6445"/>
    <w:rsid w:val="001C08BF"/>
    <w:rsid w:val="001C190B"/>
    <w:rsid w:val="001C6E62"/>
    <w:rsid w:val="001C7DED"/>
    <w:rsid w:val="001D052C"/>
    <w:rsid w:val="001D07B4"/>
    <w:rsid w:val="001D1F42"/>
    <w:rsid w:val="001D3787"/>
    <w:rsid w:val="001D4A98"/>
    <w:rsid w:val="001D5E7F"/>
    <w:rsid w:val="001E1A1A"/>
    <w:rsid w:val="001E2411"/>
    <w:rsid w:val="001E4DBA"/>
    <w:rsid w:val="001E52BD"/>
    <w:rsid w:val="001E7FF5"/>
    <w:rsid w:val="001F1A6A"/>
    <w:rsid w:val="001F3E21"/>
    <w:rsid w:val="001F4ACC"/>
    <w:rsid w:val="001F6884"/>
    <w:rsid w:val="001F7FB2"/>
    <w:rsid w:val="00203389"/>
    <w:rsid w:val="002039A0"/>
    <w:rsid w:val="002120AA"/>
    <w:rsid w:val="00220013"/>
    <w:rsid w:val="00221522"/>
    <w:rsid w:val="0022178C"/>
    <w:rsid w:val="002218FE"/>
    <w:rsid w:val="0022642C"/>
    <w:rsid w:val="00227A0E"/>
    <w:rsid w:val="00231121"/>
    <w:rsid w:val="00231EF0"/>
    <w:rsid w:val="00232145"/>
    <w:rsid w:val="00235F0E"/>
    <w:rsid w:val="00244A3B"/>
    <w:rsid w:val="00245C28"/>
    <w:rsid w:val="00247DD1"/>
    <w:rsid w:val="00254690"/>
    <w:rsid w:val="00254DC8"/>
    <w:rsid w:val="00256946"/>
    <w:rsid w:val="00257610"/>
    <w:rsid w:val="00257672"/>
    <w:rsid w:val="00257FBE"/>
    <w:rsid w:val="00260AE3"/>
    <w:rsid w:val="00261A07"/>
    <w:rsid w:val="00267AD3"/>
    <w:rsid w:val="00267E33"/>
    <w:rsid w:val="00270BDE"/>
    <w:rsid w:val="002716E4"/>
    <w:rsid w:val="00272C67"/>
    <w:rsid w:val="002758E4"/>
    <w:rsid w:val="00280803"/>
    <w:rsid w:val="00282244"/>
    <w:rsid w:val="0028350F"/>
    <w:rsid w:val="002861EB"/>
    <w:rsid w:val="002A2152"/>
    <w:rsid w:val="002A5788"/>
    <w:rsid w:val="002A603C"/>
    <w:rsid w:val="002B417F"/>
    <w:rsid w:val="002B46CF"/>
    <w:rsid w:val="002B5E45"/>
    <w:rsid w:val="002B6004"/>
    <w:rsid w:val="002B76A8"/>
    <w:rsid w:val="002C090E"/>
    <w:rsid w:val="002C0FA1"/>
    <w:rsid w:val="002C1782"/>
    <w:rsid w:val="002C3595"/>
    <w:rsid w:val="002C3EC7"/>
    <w:rsid w:val="002C539F"/>
    <w:rsid w:val="002C66E5"/>
    <w:rsid w:val="002C75D4"/>
    <w:rsid w:val="002C79BF"/>
    <w:rsid w:val="002D0C2C"/>
    <w:rsid w:val="002D1CC0"/>
    <w:rsid w:val="002D32F7"/>
    <w:rsid w:val="002D5F21"/>
    <w:rsid w:val="002D66EB"/>
    <w:rsid w:val="002D7C1D"/>
    <w:rsid w:val="002D7F28"/>
    <w:rsid w:val="002E0628"/>
    <w:rsid w:val="002E0C33"/>
    <w:rsid w:val="002E18F7"/>
    <w:rsid w:val="002E2809"/>
    <w:rsid w:val="002F0D0D"/>
    <w:rsid w:val="0030476F"/>
    <w:rsid w:val="003047AC"/>
    <w:rsid w:val="00304BFB"/>
    <w:rsid w:val="00304DEE"/>
    <w:rsid w:val="00305B48"/>
    <w:rsid w:val="0030630E"/>
    <w:rsid w:val="00310322"/>
    <w:rsid w:val="00310C55"/>
    <w:rsid w:val="00310D2A"/>
    <w:rsid w:val="00313F59"/>
    <w:rsid w:val="003160A4"/>
    <w:rsid w:val="00316C9C"/>
    <w:rsid w:val="003179D1"/>
    <w:rsid w:val="00322257"/>
    <w:rsid w:val="00322DF0"/>
    <w:rsid w:val="00323DE8"/>
    <w:rsid w:val="00330294"/>
    <w:rsid w:val="00331266"/>
    <w:rsid w:val="00334FC2"/>
    <w:rsid w:val="003353A1"/>
    <w:rsid w:val="003403B6"/>
    <w:rsid w:val="0034365E"/>
    <w:rsid w:val="00346056"/>
    <w:rsid w:val="00346B97"/>
    <w:rsid w:val="0035103A"/>
    <w:rsid w:val="00351BF0"/>
    <w:rsid w:val="00353163"/>
    <w:rsid w:val="003533D6"/>
    <w:rsid w:val="00354BC1"/>
    <w:rsid w:val="00355618"/>
    <w:rsid w:val="00355629"/>
    <w:rsid w:val="00356CF4"/>
    <w:rsid w:val="00362130"/>
    <w:rsid w:val="00362B1F"/>
    <w:rsid w:val="00363B09"/>
    <w:rsid w:val="003670C7"/>
    <w:rsid w:val="00376A73"/>
    <w:rsid w:val="00377010"/>
    <w:rsid w:val="00382FCF"/>
    <w:rsid w:val="00384E80"/>
    <w:rsid w:val="003861DD"/>
    <w:rsid w:val="00386E59"/>
    <w:rsid w:val="00387D64"/>
    <w:rsid w:val="00393EE3"/>
    <w:rsid w:val="00395DDB"/>
    <w:rsid w:val="00397ADB"/>
    <w:rsid w:val="00397B38"/>
    <w:rsid w:val="003A08A5"/>
    <w:rsid w:val="003A1A71"/>
    <w:rsid w:val="003A3CDB"/>
    <w:rsid w:val="003A5A7C"/>
    <w:rsid w:val="003A7C7B"/>
    <w:rsid w:val="003B1709"/>
    <w:rsid w:val="003B191E"/>
    <w:rsid w:val="003B6C8C"/>
    <w:rsid w:val="003B6D6F"/>
    <w:rsid w:val="003C1DC4"/>
    <w:rsid w:val="003C668A"/>
    <w:rsid w:val="003C767B"/>
    <w:rsid w:val="003C7C1A"/>
    <w:rsid w:val="003D6289"/>
    <w:rsid w:val="003D6891"/>
    <w:rsid w:val="003E13A0"/>
    <w:rsid w:val="003E318C"/>
    <w:rsid w:val="003E5F23"/>
    <w:rsid w:val="003E679A"/>
    <w:rsid w:val="003F02FD"/>
    <w:rsid w:val="003F3EE3"/>
    <w:rsid w:val="003F7BC4"/>
    <w:rsid w:val="0040566C"/>
    <w:rsid w:val="0040573B"/>
    <w:rsid w:val="004102A1"/>
    <w:rsid w:val="004120CA"/>
    <w:rsid w:val="00414514"/>
    <w:rsid w:val="004150A9"/>
    <w:rsid w:val="00426E93"/>
    <w:rsid w:val="00431454"/>
    <w:rsid w:val="00434F40"/>
    <w:rsid w:val="00436455"/>
    <w:rsid w:val="00440A14"/>
    <w:rsid w:val="00440DB8"/>
    <w:rsid w:val="00443250"/>
    <w:rsid w:val="004457E5"/>
    <w:rsid w:val="0044677C"/>
    <w:rsid w:val="00450B7D"/>
    <w:rsid w:val="00455753"/>
    <w:rsid w:val="00460A27"/>
    <w:rsid w:val="00461A87"/>
    <w:rsid w:val="0046215B"/>
    <w:rsid w:val="00463846"/>
    <w:rsid w:val="00463D15"/>
    <w:rsid w:val="004705D7"/>
    <w:rsid w:val="00470AC4"/>
    <w:rsid w:val="00474C1D"/>
    <w:rsid w:val="004758C9"/>
    <w:rsid w:val="004776A3"/>
    <w:rsid w:val="00482868"/>
    <w:rsid w:val="004831C2"/>
    <w:rsid w:val="00486677"/>
    <w:rsid w:val="00487635"/>
    <w:rsid w:val="00490E4B"/>
    <w:rsid w:val="00491C44"/>
    <w:rsid w:val="00497989"/>
    <w:rsid w:val="004A1AC4"/>
    <w:rsid w:val="004A215C"/>
    <w:rsid w:val="004A2E93"/>
    <w:rsid w:val="004A6590"/>
    <w:rsid w:val="004B0328"/>
    <w:rsid w:val="004B3856"/>
    <w:rsid w:val="004C0FB0"/>
    <w:rsid w:val="004C2980"/>
    <w:rsid w:val="004C2FEB"/>
    <w:rsid w:val="004C3E8A"/>
    <w:rsid w:val="004C7E56"/>
    <w:rsid w:val="004D2E4A"/>
    <w:rsid w:val="004D4CEE"/>
    <w:rsid w:val="004D5965"/>
    <w:rsid w:val="004D5C87"/>
    <w:rsid w:val="004D6A2C"/>
    <w:rsid w:val="004F0C78"/>
    <w:rsid w:val="004F1179"/>
    <w:rsid w:val="004F23FC"/>
    <w:rsid w:val="004F4DA5"/>
    <w:rsid w:val="004F7F5F"/>
    <w:rsid w:val="00500700"/>
    <w:rsid w:val="005025B9"/>
    <w:rsid w:val="0050447C"/>
    <w:rsid w:val="00505324"/>
    <w:rsid w:val="005053BC"/>
    <w:rsid w:val="00507747"/>
    <w:rsid w:val="005166B1"/>
    <w:rsid w:val="00516963"/>
    <w:rsid w:val="00520174"/>
    <w:rsid w:val="00527BEF"/>
    <w:rsid w:val="00533049"/>
    <w:rsid w:val="00533679"/>
    <w:rsid w:val="00533693"/>
    <w:rsid w:val="00537A30"/>
    <w:rsid w:val="005409E4"/>
    <w:rsid w:val="00543536"/>
    <w:rsid w:val="00545F2A"/>
    <w:rsid w:val="005475EE"/>
    <w:rsid w:val="005512B0"/>
    <w:rsid w:val="005523DA"/>
    <w:rsid w:val="0055380B"/>
    <w:rsid w:val="00554145"/>
    <w:rsid w:val="00555BA4"/>
    <w:rsid w:val="00555E0F"/>
    <w:rsid w:val="0056099B"/>
    <w:rsid w:val="00561CCA"/>
    <w:rsid w:val="00566062"/>
    <w:rsid w:val="00566CE6"/>
    <w:rsid w:val="00567CD0"/>
    <w:rsid w:val="005702DD"/>
    <w:rsid w:val="005702F3"/>
    <w:rsid w:val="00570FD0"/>
    <w:rsid w:val="005710ED"/>
    <w:rsid w:val="005711E0"/>
    <w:rsid w:val="00573994"/>
    <w:rsid w:val="005752DF"/>
    <w:rsid w:val="005772C0"/>
    <w:rsid w:val="005812BD"/>
    <w:rsid w:val="0058565A"/>
    <w:rsid w:val="0058570E"/>
    <w:rsid w:val="0058647F"/>
    <w:rsid w:val="005866C8"/>
    <w:rsid w:val="005918A0"/>
    <w:rsid w:val="00596E8A"/>
    <w:rsid w:val="005A2A57"/>
    <w:rsid w:val="005A5D6F"/>
    <w:rsid w:val="005B0AA7"/>
    <w:rsid w:val="005B2D9B"/>
    <w:rsid w:val="005B2FBB"/>
    <w:rsid w:val="005B33FF"/>
    <w:rsid w:val="005B5B8C"/>
    <w:rsid w:val="005B5DBA"/>
    <w:rsid w:val="005C3C4F"/>
    <w:rsid w:val="005C409B"/>
    <w:rsid w:val="005C550B"/>
    <w:rsid w:val="005C7AF7"/>
    <w:rsid w:val="005D2AF8"/>
    <w:rsid w:val="005D4B34"/>
    <w:rsid w:val="005E063B"/>
    <w:rsid w:val="005E0E77"/>
    <w:rsid w:val="005E23D7"/>
    <w:rsid w:val="005E6289"/>
    <w:rsid w:val="005E762C"/>
    <w:rsid w:val="005F20AF"/>
    <w:rsid w:val="005F2B68"/>
    <w:rsid w:val="005F48DA"/>
    <w:rsid w:val="005F66D5"/>
    <w:rsid w:val="005F70EE"/>
    <w:rsid w:val="00602C7E"/>
    <w:rsid w:val="0060307A"/>
    <w:rsid w:val="006061CB"/>
    <w:rsid w:val="00606F57"/>
    <w:rsid w:val="00607C28"/>
    <w:rsid w:val="00607D0F"/>
    <w:rsid w:val="006106D3"/>
    <w:rsid w:val="006118F2"/>
    <w:rsid w:val="006157F5"/>
    <w:rsid w:val="00617A6F"/>
    <w:rsid w:val="006217E8"/>
    <w:rsid w:val="00621D2D"/>
    <w:rsid w:val="006224F9"/>
    <w:rsid w:val="006228AC"/>
    <w:rsid w:val="006232BA"/>
    <w:rsid w:val="00624E63"/>
    <w:rsid w:val="0062774A"/>
    <w:rsid w:val="00627F2F"/>
    <w:rsid w:val="00630399"/>
    <w:rsid w:val="00636B6D"/>
    <w:rsid w:val="006441E7"/>
    <w:rsid w:val="00651EF6"/>
    <w:rsid w:val="00652457"/>
    <w:rsid w:val="006537BA"/>
    <w:rsid w:val="00654EA1"/>
    <w:rsid w:val="00657966"/>
    <w:rsid w:val="00661C36"/>
    <w:rsid w:val="00663B6B"/>
    <w:rsid w:val="00671572"/>
    <w:rsid w:val="006724A9"/>
    <w:rsid w:val="00676A30"/>
    <w:rsid w:val="00677DF5"/>
    <w:rsid w:val="00680D96"/>
    <w:rsid w:val="006849B8"/>
    <w:rsid w:val="00693A6D"/>
    <w:rsid w:val="00696BF6"/>
    <w:rsid w:val="00696C56"/>
    <w:rsid w:val="006A1DB5"/>
    <w:rsid w:val="006A392B"/>
    <w:rsid w:val="006A5DA5"/>
    <w:rsid w:val="006A6677"/>
    <w:rsid w:val="006A7054"/>
    <w:rsid w:val="006A7BC0"/>
    <w:rsid w:val="006B11DE"/>
    <w:rsid w:val="006B279F"/>
    <w:rsid w:val="006B37A9"/>
    <w:rsid w:val="006B3D43"/>
    <w:rsid w:val="006C2254"/>
    <w:rsid w:val="006D085F"/>
    <w:rsid w:val="006D2DF8"/>
    <w:rsid w:val="006D4C84"/>
    <w:rsid w:val="006E293F"/>
    <w:rsid w:val="006F0328"/>
    <w:rsid w:val="006F0F14"/>
    <w:rsid w:val="006F0FED"/>
    <w:rsid w:val="006F26C7"/>
    <w:rsid w:val="006F3076"/>
    <w:rsid w:val="006F4EB3"/>
    <w:rsid w:val="0070288F"/>
    <w:rsid w:val="007050DF"/>
    <w:rsid w:val="00707636"/>
    <w:rsid w:val="007148B7"/>
    <w:rsid w:val="00715F10"/>
    <w:rsid w:val="00716C5E"/>
    <w:rsid w:val="007200D1"/>
    <w:rsid w:val="00721CF4"/>
    <w:rsid w:val="00722BCD"/>
    <w:rsid w:val="007240AF"/>
    <w:rsid w:val="0072508A"/>
    <w:rsid w:val="0073189A"/>
    <w:rsid w:val="007338A6"/>
    <w:rsid w:val="00733DFF"/>
    <w:rsid w:val="00734565"/>
    <w:rsid w:val="007347A9"/>
    <w:rsid w:val="00741E52"/>
    <w:rsid w:val="00741F4D"/>
    <w:rsid w:val="00742340"/>
    <w:rsid w:val="00744609"/>
    <w:rsid w:val="00745134"/>
    <w:rsid w:val="00752EE5"/>
    <w:rsid w:val="00754CF1"/>
    <w:rsid w:val="00761AE2"/>
    <w:rsid w:val="00762871"/>
    <w:rsid w:val="00763D3F"/>
    <w:rsid w:val="00765806"/>
    <w:rsid w:val="00773871"/>
    <w:rsid w:val="00774905"/>
    <w:rsid w:val="007768A8"/>
    <w:rsid w:val="00780F83"/>
    <w:rsid w:val="007814E5"/>
    <w:rsid w:val="00782855"/>
    <w:rsid w:val="007844E6"/>
    <w:rsid w:val="007850C9"/>
    <w:rsid w:val="00787FCF"/>
    <w:rsid w:val="007924D2"/>
    <w:rsid w:val="00792642"/>
    <w:rsid w:val="00793747"/>
    <w:rsid w:val="00794C90"/>
    <w:rsid w:val="00794E02"/>
    <w:rsid w:val="00795E55"/>
    <w:rsid w:val="007A05E3"/>
    <w:rsid w:val="007A3103"/>
    <w:rsid w:val="007A3AFA"/>
    <w:rsid w:val="007A4B98"/>
    <w:rsid w:val="007B28E0"/>
    <w:rsid w:val="007B323E"/>
    <w:rsid w:val="007C71E2"/>
    <w:rsid w:val="007C75DE"/>
    <w:rsid w:val="007D01DC"/>
    <w:rsid w:val="007D034F"/>
    <w:rsid w:val="007D1C13"/>
    <w:rsid w:val="007D380F"/>
    <w:rsid w:val="007D7F01"/>
    <w:rsid w:val="007E2E7A"/>
    <w:rsid w:val="007E3F2A"/>
    <w:rsid w:val="007F1A12"/>
    <w:rsid w:val="007F3E43"/>
    <w:rsid w:val="007F5CE5"/>
    <w:rsid w:val="007F6280"/>
    <w:rsid w:val="007F696B"/>
    <w:rsid w:val="007F7122"/>
    <w:rsid w:val="007F77CB"/>
    <w:rsid w:val="00802523"/>
    <w:rsid w:val="00804B74"/>
    <w:rsid w:val="00806E36"/>
    <w:rsid w:val="00810B72"/>
    <w:rsid w:val="00813381"/>
    <w:rsid w:val="00814144"/>
    <w:rsid w:val="008163B6"/>
    <w:rsid w:val="0081676F"/>
    <w:rsid w:val="00816CCB"/>
    <w:rsid w:val="008226A3"/>
    <w:rsid w:val="00825E0F"/>
    <w:rsid w:val="008275E0"/>
    <w:rsid w:val="00840A6D"/>
    <w:rsid w:val="00840C5C"/>
    <w:rsid w:val="00842C33"/>
    <w:rsid w:val="008452C0"/>
    <w:rsid w:val="00850137"/>
    <w:rsid w:val="008527D4"/>
    <w:rsid w:val="00854728"/>
    <w:rsid w:val="008547FE"/>
    <w:rsid w:val="008607AE"/>
    <w:rsid w:val="00860C72"/>
    <w:rsid w:val="008610D1"/>
    <w:rsid w:val="0086208B"/>
    <w:rsid w:val="0086218A"/>
    <w:rsid w:val="00863A87"/>
    <w:rsid w:val="008641B8"/>
    <w:rsid w:val="008646E4"/>
    <w:rsid w:val="008658F1"/>
    <w:rsid w:val="00867FA9"/>
    <w:rsid w:val="008709BD"/>
    <w:rsid w:val="00872562"/>
    <w:rsid w:val="008726D4"/>
    <w:rsid w:val="008732BC"/>
    <w:rsid w:val="008772D4"/>
    <w:rsid w:val="00880A36"/>
    <w:rsid w:val="00882103"/>
    <w:rsid w:val="00891986"/>
    <w:rsid w:val="00894CDC"/>
    <w:rsid w:val="00897C67"/>
    <w:rsid w:val="008A5016"/>
    <w:rsid w:val="008A636C"/>
    <w:rsid w:val="008A761B"/>
    <w:rsid w:val="008B212C"/>
    <w:rsid w:val="008B2B7E"/>
    <w:rsid w:val="008B51BA"/>
    <w:rsid w:val="008B5E03"/>
    <w:rsid w:val="008B7A20"/>
    <w:rsid w:val="008C0B28"/>
    <w:rsid w:val="008C1573"/>
    <w:rsid w:val="008D5639"/>
    <w:rsid w:val="008E087D"/>
    <w:rsid w:val="008E0C47"/>
    <w:rsid w:val="008E1983"/>
    <w:rsid w:val="008E33F4"/>
    <w:rsid w:val="008E5991"/>
    <w:rsid w:val="008E5D14"/>
    <w:rsid w:val="008E7157"/>
    <w:rsid w:val="008E73A6"/>
    <w:rsid w:val="008F143C"/>
    <w:rsid w:val="008F5CDC"/>
    <w:rsid w:val="008F670D"/>
    <w:rsid w:val="009003D8"/>
    <w:rsid w:val="00902DA6"/>
    <w:rsid w:val="009249AF"/>
    <w:rsid w:val="00925143"/>
    <w:rsid w:val="00925DCD"/>
    <w:rsid w:val="0092661D"/>
    <w:rsid w:val="009306D9"/>
    <w:rsid w:val="009323CC"/>
    <w:rsid w:val="009338D1"/>
    <w:rsid w:val="009351BA"/>
    <w:rsid w:val="0093544F"/>
    <w:rsid w:val="00936DF9"/>
    <w:rsid w:val="00937BA1"/>
    <w:rsid w:val="00942720"/>
    <w:rsid w:val="00947D4F"/>
    <w:rsid w:val="009534A5"/>
    <w:rsid w:val="00954AB6"/>
    <w:rsid w:val="0095506E"/>
    <w:rsid w:val="009551A9"/>
    <w:rsid w:val="0096013E"/>
    <w:rsid w:val="0096125C"/>
    <w:rsid w:val="00963B4B"/>
    <w:rsid w:val="009660F1"/>
    <w:rsid w:val="00971C28"/>
    <w:rsid w:val="00973F5F"/>
    <w:rsid w:val="00983889"/>
    <w:rsid w:val="009845E4"/>
    <w:rsid w:val="009909A0"/>
    <w:rsid w:val="009934C5"/>
    <w:rsid w:val="009943B6"/>
    <w:rsid w:val="00994F17"/>
    <w:rsid w:val="0099510C"/>
    <w:rsid w:val="00997481"/>
    <w:rsid w:val="009A0E04"/>
    <w:rsid w:val="009A30EC"/>
    <w:rsid w:val="009A3E01"/>
    <w:rsid w:val="009A5406"/>
    <w:rsid w:val="009A5F0C"/>
    <w:rsid w:val="009B1495"/>
    <w:rsid w:val="009B26E8"/>
    <w:rsid w:val="009B3A9E"/>
    <w:rsid w:val="009C23DB"/>
    <w:rsid w:val="009D0351"/>
    <w:rsid w:val="009D2E33"/>
    <w:rsid w:val="009D344C"/>
    <w:rsid w:val="009D3BA2"/>
    <w:rsid w:val="009D5516"/>
    <w:rsid w:val="009D6A7C"/>
    <w:rsid w:val="009E1855"/>
    <w:rsid w:val="009E3A13"/>
    <w:rsid w:val="009E733F"/>
    <w:rsid w:val="009E7365"/>
    <w:rsid w:val="009F02C9"/>
    <w:rsid w:val="009F5D28"/>
    <w:rsid w:val="00A04CA2"/>
    <w:rsid w:val="00A10E74"/>
    <w:rsid w:val="00A12055"/>
    <w:rsid w:val="00A14332"/>
    <w:rsid w:val="00A1532B"/>
    <w:rsid w:val="00A16A26"/>
    <w:rsid w:val="00A171E4"/>
    <w:rsid w:val="00A17797"/>
    <w:rsid w:val="00A17916"/>
    <w:rsid w:val="00A2051E"/>
    <w:rsid w:val="00A22924"/>
    <w:rsid w:val="00A23B01"/>
    <w:rsid w:val="00A27460"/>
    <w:rsid w:val="00A31797"/>
    <w:rsid w:val="00A34674"/>
    <w:rsid w:val="00A350C7"/>
    <w:rsid w:val="00A40F37"/>
    <w:rsid w:val="00A431B8"/>
    <w:rsid w:val="00A4510A"/>
    <w:rsid w:val="00A46523"/>
    <w:rsid w:val="00A47890"/>
    <w:rsid w:val="00A479DD"/>
    <w:rsid w:val="00A51F2C"/>
    <w:rsid w:val="00A54751"/>
    <w:rsid w:val="00A57E5F"/>
    <w:rsid w:val="00A605E0"/>
    <w:rsid w:val="00A6061E"/>
    <w:rsid w:val="00A60639"/>
    <w:rsid w:val="00A61649"/>
    <w:rsid w:val="00A62758"/>
    <w:rsid w:val="00A63F6E"/>
    <w:rsid w:val="00A65D07"/>
    <w:rsid w:val="00A67D97"/>
    <w:rsid w:val="00A7082E"/>
    <w:rsid w:val="00A72116"/>
    <w:rsid w:val="00A80690"/>
    <w:rsid w:val="00A80BD6"/>
    <w:rsid w:val="00A81339"/>
    <w:rsid w:val="00A82F13"/>
    <w:rsid w:val="00A840DE"/>
    <w:rsid w:val="00A84DA4"/>
    <w:rsid w:val="00A91E4F"/>
    <w:rsid w:val="00A92342"/>
    <w:rsid w:val="00A92F36"/>
    <w:rsid w:val="00A94630"/>
    <w:rsid w:val="00A94D8D"/>
    <w:rsid w:val="00A96D68"/>
    <w:rsid w:val="00A97297"/>
    <w:rsid w:val="00AA12A5"/>
    <w:rsid w:val="00AA68C4"/>
    <w:rsid w:val="00AB12E0"/>
    <w:rsid w:val="00AB1959"/>
    <w:rsid w:val="00AB3552"/>
    <w:rsid w:val="00AB6DCE"/>
    <w:rsid w:val="00AC004E"/>
    <w:rsid w:val="00AC07C7"/>
    <w:rsid w:val="00AD29C9"/>
    <w:rsid w:val="00AE1D0C"/>
    <w:rsid w:val="00AE2422"/>
    <w:rsid w:val="00AE34B3"/>
    <w:rsid w:val="00AE4902"/>
    <w:rsid w:val="00AE5438"/>
    <w:rsid w:val="00AE571F"/>
    <w:rsid w:val="00AF0BB2"/>
    <w:rsid w:val="00AF0CF1"/>
    <w:rsid w:val="00AF1880"/>
    <w:rsid w:val="00AF3D0D"/>
    <w:rsid w:val="00B04D3A"/>
    <w:rsid w:val="00B06A60"/>
    <w:rsid w:val="00B11959"/>
    <w:rsid w:val="00B16AB2"/>
    <w:rsid w:val="00B16DED"/>
    <w:rsid w:val="00B17CF5"/>
    <w:rsid w:val="00B216CE"/>
    <w:rsid w:val="00B21AAB"/>
    <w:rsid w:val="00B22B01"/>
    <w:rsid w:val="00B27853"/>
    <w:rsid w:val="00B31EDC"/>
    <w:rsid w:val="00B40632"/>
    <w:rsid w:val="00B44B0E"/>
    <w:rsid w:val="00B44F70"/>
    <w:rsid w:val="00B47A5F"/>
    <w:rsid w:val="00B51A93"/>
    <w:rsid w:val="00B5279A"/>
    <w:rsid w:val="00B53D00"/>
    <w:rsid w:val="00B551BA"/>
    <w:rsid w:val="00B5649D"/>
    <w:rsid w:val="00B57103"/>
    <w:rsid w:val="00B6088B"/>
    <w:rsid w:val="00B60DDF"/>
    <w:rsid w:val="00B62FF7"/>
    <w:rsid w:val="00B65B4F"/>
    <w:rsid w:val="00B675EC"/>
    <w:rsid w:val="00B70896"/>
    <w:rsid w:val="00B70E3C"/>
    <w:rsid w:val="00B81115"/>
    <w:rsid w:val="00B84864"/>
    <w:rsid w:val="00B8669E"/>
    <w:rsid w:val="00B869C2"/>
    <w:rsid w:val="00B87801"/>
    <w:rsid w:val="00B90898"/>
    <w:rsid w:val="00B94D62"/>
    <w:rsid w:val="00B97984"/>
    <w:rsid w:val="00BA1A07"/>
    <w:rsid w:val="00BA1B9D"/>
    <w:rsid w:val="00BA4904"/>
    <w:rsid w:val="00BA5B52"/>
    <w:rsid w:val="00BB033B"/>
    <w:rsid w:val="00BB4BF2"/>
    <w:rsid w:val="00BB54ED"/>
    <w:rsid w:val="00BB60BC"/>
    <w:rsid w:val="00BB6976"/>
    <w:rsid w:val="00BC30FC"/>
    <w:rsid w:val="00BC41DA"/>
    <w:rsid w:val="00BD0BA0"/>
    <w:rsid w:val="00BD1EED"/>
    <w:rsid w:val="00BD2FCD"/>
    <w:rsid w:val="00BE0655"/>
    <w:rsid w:val="00BE0FA5"/>
    <w:rsid w:val="00BE286C"/>
    <w:rsid w:val="00BE3B67"/>
    <w:rsid w:val="00BE4E30"/>
    <w:rsid w:val="00BF050F"/>
    <w:rsid w:val="00BF42F3"/>
    <w:rsid w:val="00BF57BA"/>
    <w:rsid w:val="00BF6FB5"/>
    <w:rsid w:val="00C0084B"/>
    <w:rsid w:val="00C03B51"/>
    <w:rsid w:val="00C04B79"/>
    <w:rsid w:val="00C072D2"/>
    <w:rsid w:val="00C12F55"/>
    <w:rsid w:val="00C14476"/>
    <w:rsid w:val="00C144D4"/>
    <w:rsid w:val="00C1486E"/>
    <w:rsid w:val="00C15BBD"/>
    <w:rsid w:val="00C173C3"/>
    <w:rsid w:val="00C17DBB"/>
    <w:rsid w:val="00C23680"/>
    <w:rsid w:val="00C23A62"/>
    <w:rsid w:val="00C23FEE"/>
    <w:rsid w:val="00C301AD"/>
    <w:rsid w:val="00C32C00"/>
    <w:rsid w:val="00C336D8"/>
    <w:rsid w:val="00C34EB4"/>
    <w:rsid w:val="00C366F1"/>
    <w:rsid w:val="00C36758"/>
    <w:rsid w:val="00C428E3"/>
    <w:rsid w:val="00C433DF"/>
    <w:rsid w:val="00C44959"/>
    <w:rsid w:val="00C45389"/>
    <w:rsid w:val="00C458A2"/>
    <w:rsid w:val="00C55C7D"/>
    <w:rsid w:val="00C56646"/>
    <w:rsid w:val="00C634E9"/>
    <w:rsid w:val="00C67E9B"/>
    <w:rsid w:val="00C7196A"/>
    <w:rsid w:val="00C77CE9"/>
    <w:rsid w:val="00C8469A"/>
    <w:rsid w:val="00C852BF"/>
    <w:rsid w:val="00C862A3"/>
    <w:rsid w:val="00C92FC3"/>
    <w:rsid w:val="00C931F3"/>
    <w:rsid w:val="00C947BC"/>
    <w:rsid w:val="00C96B35"/>
    <w:rsid w:val="00C96E68"/>
    <w:rsid w:val="00CA0247"/>
    <w:rsid w:val="00CA1A5E"/>
    <w:rsid w:val="00CA1F27"/>
    <w:rsid w:val="00CA3200"/>
    <w:rsid w:val="00CA38C4"/>
    <w:rsid w:val="00CA38CC"/>
    <w:rsid w:val="00CA3BEC"/>
    <w:rsid w:val="00CA4CCA"/>
    <w:rsid w:val="00CA7AF1"/>
    <w:rsid w:val="00CB31A0"/>
    <w:rsid w:val="00CB5886"/>
    <w:rsid w:val="00CB6B07"/>
    <w:rsid w:val="00CB7AAC"/>
    <w:rsid w:val="00CD1C15"/>
    <w:rsid w:val="00CD1D38"/>
    <w:rsid w:val="00CD28AB"/>
    <w:rsid w:val="00CD3300"/>
    <w:rsid w:val="00CD3C61"/>
    <w:rsid w:val="00CD4EAD"/>
    <w:rsid w:val="00CD5156"/>
    <w:rsid w:val="00CD7297"/>
    <w:rsid w:val="00CE0DD2"/>
    <w:rsid w:val="00CE1C1D"/>
    <w:rsid w:val="00CE1C84"/>
    <w:rsid w:val="00CE365A"/>
    <w:rsid w:val="00CE4589"/>
    <w:rsid w:val="00CF0BB5"/>
    <w:rsid w:val="00CF1624"/>
    <w:rsid w:val="00CF1A9E"/>
    <w:rsid w:val="00CF1F9E"/>
    <w:rsid w:val="00CF3AAE"/>
    <w:rsid w:val="00D007FA"/>
    <w:rsid w:val="00D00E23"/>
    <w:rsid w:val="00D01BEB"/>
    <w:rsid w:val="00D02349"/>
    <w:rsid w:val="00D047DC"/>
    <w:rsid w:val="00D05005"/>
    <w:rsid w:val="00D061F8"/>
    <w:rsid w:val="00D06786"/>
    <w:rsid w:val="00D12307"/>
    <w:rsid w:val="00D148F8"/>
    <w:rsid w:val="00D15B1E"/>
    <w:rsid w:val="00D16B13"/>
    <w:rsid w:val="00D16BFF"/>
    <w:rsid w:val="00D16E13"/>
    <w:rsid w:val="00D20215"/>
    <w:rsid w:val="00D25436"/>
    <w:rsid w:val="00D25D2C"/>
    <w:rsid w:val="00D26E38"/>
    <w:rsid w:val="00D30193"/>
    <w:rsid w:val="00D30445"/>
    <w:rsid w:val="00D40BA5"/>
    <w:rsid w:val="00D41128"/>
    <w:rsid w:val="00D41824"/>
    <w:rsid w:val="00D44082"/>
    <w:rsid w:val="00D449E0"/>
    <w:rsid w:val="00D460CF"/>
    <w:rsid w:val="00D46A1B"/>
    <w:rsid w:val="00D4732B"/>
    <w:rsid w:val="00D47ABA"/>
    <w:rsid w:val="00D52A36"/>
    <w:rsid w:val="00D54DC1"/>
    <w:rsid w:val="00D578E6"/>
    <w:rsid w:val="00D6212A"/>
    <w:rsid w:val="00D6298E"/>
    <w:rsid w:val="00D6675A"/>
    <w:rsid w:val="00D7185E"/>
    <w:rsid w:val="00D75047"/>
    <w:rsid w:val="00D754DE"/>
    <w:rsid w:val="00D75512"/>
    <w:rsid w:val="00D77441"/>
    <w:rsid w:val="00D80545"/>
    <w:rsid w:val="00D80E2D"/>
    <w:rsid w:val="00D8204F"/>
    <w:rsid w:val="00D8459A"/>
    <w:rsid w:val="00D84FE2"/>
    <w:rsid w:val="00DA2891"/>
    <w:rsid w:val="00DA4204"/>
    <w:rsid w:val="00DA497A"/>
    <w:rsid w:val="00DB214E"/>
    <w:rsid w:val="00DB45B9"/>
    <w:rsid w:val="00DB5595"/>
    <w:rsid w:val="00DB6CEE"/>
    <w:rsid w:val="00DC2F71"/>
    <w:rsid w:val="00DC3107"/>
    <w:rsid w:val="00DC37F8"/>
    <w:rsid w:val="00DC6230"/>
    <w:rsid w:val="00DD2861"/>
    <w:rsid w:val="00DD2A6C"/>
    <w:rsid w:val="00DD37D1"/>
    <w:rsid w:val="00DD4ED7"/>
    <w:rsid w:val="00DD4FE9"/>
    <w:rsid w:val="00DE01B8"/>
    <w:rsid w:val="00DE12CA"/>
    <w:rsid w:val="00DE1659"/>
    <w:rsid w:val="00DE4A56"/>
    <w:rsid w:val="00DE549E"/>
    <w:rsid w:val="00DE5EE2"/>
    <w:rsid w:val="00DE7F59"/>
    <w:rsid w:val="00DF0474"/>
    <w:rsid w:val="00DF1197"/>
    <w:rsid w:val="00DF4E34"/>
    <w:rsid w:val="00E05FC3"/>
    <w:rsid w:val="00E063A7"/>
    <w:rsid w:val="00E07104"/>
    <w:rsid w:val="00E10360"/>
    <w:rsid w:val="00E113A1"/>
    <w:rsid w:val="00E11E7D"/>
    <w:rsid w:val="00E130C0"/>
    <w:rsid w:val="00E14856"/>
    <w:rsid w:val="00E20166"/>
    <w:rsid w:val="00E20AD7"/>
    <w:rsid w:val="00E20B22"/>
    <w:rsid w:val="00E2222E"/>
    <w:rsid w:val="00E2402B"/>
    <w:rsid w:val="00E35E4F"/>
    <w:rsid w:val="00E42570"/>
    <w:rsid w:val="00E42AC6"/>
    <w:rsid w:val="00E42D2C"/>
    <w:rsid w:val="00E475A3"/>
    <w:rsid w:val="00E52491"/>
    <w:rsid w:val="00E5337B"/>
    <w:rsid w:val="00E571D5"/>
    <w:rsid w:val="00E5759B"/>
    <w:rsid w:val="00E66A6B"/>
    <w:rsid w:val="00E67E24"/>
    <w:rsid w:val="00E723DA"/>
    <w:rsid w:val="00E77960"/>
    <w:rsid w:val="00E81163"/>
    <w:rsid w:val="00E845EC"/>
    <w:rsid w:val="00E9073F"/>
    <w:rsid w:val="00E96D3F"/>
    <w:rsid w:val="00EA0BA1"/>
    <w:rsid w:val="00EA5E39"/>
    <w:rsid w:val="00EB10AA"/>
    <w:rsid w:val="00EB1685"/>
    <w:rsid w:val="00EB29DD"/>
    <w:rsid w:val="00EB561B"/>
    <w:rsid w:val="00EB591C"/>
    <w:rsid w:val="00EB76E5"/>
    <w:rsid w:val="00EB77DA"/>
    <w:rsid w:val="00EB7E5D"/>
    <w:rsid w:val="00EC38A1"/>
    <w:rsid w:val="00EC40CD"/>
    <w:rsid w:val="00EC696F"/>
    <w:rsid w:val="00ED0E0E"/>
    <w:rsid w:val="00ED72C3"/>
    <w:rsid w:val="00EE6919"/>
    <w:rsid w:val="00EE6942"/>
    <w:rsid w:val="00EE696D"/>
    <w:rsid w:val="00EE6B57"/>
    <w:rsid w:val="00EF09AC"/>
    <w:rsid w:val="00EF3AE1"/>
    <w:rsid w:val="00EF4EFF"/>
    <w:rsid w:val="00EF6117"/>
    <w:rsid w:val="00F00852"/>
    <w:rsid w:val="00F00915"/>
    <w:rsid w:val="00F00B2C"/>
    <w:rsid w:val="00F01CCC"/>
    <w:rsid w:val="00F03784"/>
    <w:rsid w:val="00F05909"/>
    <w:rsid w:val="00F05C12"/>
    <w:rsid w:val="00F10D99"/>
    <w:rsid w:val="00F12D13"/>
    <w:rsid w:val="00F12EDD"/>
    <w:rsid w:val="00F15ACB"/>
    <w:rsid w:val="00F15FD7"/>
    <w:rsid w:val="00F16254"/>
    <w:rsid w:val="00F168B3"/>
    <w:rsid w:val="00F17ACB"/>
    <w:rsid w:val="00F20479"/>
    <w:rsid w:val="00F228C4"/>
    <w:rsid w:val="00F24FCD"/>
    <w:rsid w:val="00F250CA"/>
    <w:rsid w:val="00F26315"/>
    <w:rsid w:val="00F264BF"/>
    <w:rsid w:val="00F26539"/>
    <w:rsid w:val="00F305DF"/>
    <w:rsid w:val="00F31A0E"/>
    <w:rsid w:val="00F36F96"/>
    <w:rsid w:val="00F418D1"/>
    <w:rsid w:val="00F443FD"/>
    <w:rsid w:val="00F466E3"/>
    <w:rsid w:val="00F47975"/>
    <w:rsid w:val="00F517C2"/>
    <w:rsid w:val="00F55A30"/>
    <w:rsid w:val="00F64F76"/>
    <w:rsid w:val="00F6540D"/>
    <w:rsid w:val="00F748A9"/>
    <w:rsid w:val="00F75778"/>
    <w:rsid w:val="00F7668E"/>
    <w:rsid w:val="00F76C12"/>
    <w:rsid w:val="00F774B2"/>
    <w:rsid w:val="00F8330F"/>
    <w:rsid w:val="00F8607B"/>
    <w:rsid w:val="00F866EF"/>
    <w:rsid w:val="00F97DB6"/>
    <w:rsid w:val="00FA150B"/>
    <w:rsid w:val="00FA3B59"/>
    <w:rsid w:val="00FA44C4"/>
    <w:rsid w:val="00FA5965"/>
    <w:rsid w:val="00FA643B"/>
    <w:rsid w:val="00FB46A0"/>
    <w:rsid w:val="00FC10C5"/>
    <w:rsid w:val="00FC2E6E"/>
    <w:rsid w:val="00FC6386"/>
    <w:rsid w:val="00FC649C"/>
    <w:rsid w:val="00FC6E5B"/>
    <w:rsid w:val="00FE202A"/>
    <w:rsid w:val="00FE30C7"/>
    <w:rsid w:val="00FE5EC4"/>
    <w:rsid w:val="00FE7DBD"/>
    <w:rsid w:val="00FF038A"/>
    <w:rsid w:val="00FF5027"/>
    <w:rsid w:val="00FF5220"/>
    <w:rsid w:val="01987A0A"/>
    <w:rsid w:val="019EF561"/>
    <w:rsid w:val="02056B21"/>
    <w:rsid w:val="021B2192"/>
    <w:rsid w:val="04D62F64"/>
    <w:rsid w:val="0647F280"/>
    <w:rsid w:val="0663C2D8"/>
    <w:rsid w:val="0754A603"/>
    <w:rsid w:val="082E9DBF"/>
    <w:rsid w:val="0B952D7F"/>
    <w:rsid w:val="0C0682ED"/>
    <w:rsid w:val="0D59C30A"/>
    <w:rsid w:val="0DF967A2"/>
    <w:rsid w:val="0E2FF21A"/>
    <w:rsid w:val="0EE13AC4"/>
    <w:rsid w:val="0F1E1A7B"/>
    <w:rsid w:val="0F293691"/>
    <w:rsid w:val="0F531730"/>
    <w:rsid w:val="11613660"/>
    <w:rsid w:val="11743C90"/>
    <w:rsid w:val="15D21FD7"/>
    <w:rsid w:val="18275BB5"/>
    <w:rsid w:val="18F5D2DA"/>
    <w:rsid w:val="197C98AD"/>
    <w:rsid w:val="19D7BFCA"/>
    <w:rsid w:val="1ABA5D53"/>
    <w:rsid w:val="1B86D5AC"/>
    <w:rsid w:val="1BAEFF4E"/>
    <w:rsid w:val="1C545C9A"/>
    <w:rsid w:val="1C830C8F"/>
    <w:rsid w:val="1C853A80"/>
    <w:rsid w:val="1D45AC3C"/>
    <w:rsid w:val="1F0987DA"/>
    <w:rsid w:val="1FF2B869"/>
    <w:rsid w:val="2114C515"/>
    <w:rsid w:val="211D9AE1"/>
    <w:rsid w:val="2168CB6A"/>
    <w:rsid w:val="226DA16E"/>
    <w:rsid w:val="22F02921"/>
    <w:rsid w:val="235F3594"/>
    <w:rsid w:val="24555CBC"/>
    <w:rsid w:val="247C5803"/>
    <w:rsid w:val="28015F1B"/>
    <w:rsid w:val="28CC8A28"/>
    <w:rsid w:val="291D0989"/>
    <w:rsid w:val="291D27B4"/>
    <w:rsid w:val="29AE515B"/>
    <w:rsid w:val="2C5C6CC0"/>
    <w:rsid w:val="2DC7D0BF"/>
    <w:rsid w:val="2E937FFA"/>
    <w:rsid w:val="2EF5F3AA"/>
    <w:rsid w:val="30DC39AD"/>
    <w:rsid w:val="31E8B99A"/>
    <w:rsid w:val="326310A9"/>
    <w:rsid w:val="3273D1A2"/>
    <w:rsid w:val="335C0E1A"/>
    <w:rsid w:val="34D73BB4"/>
    <w:rsid w:val="370A9E61"/>
    <w:rsid w:val="375A7B58"/>
    <w:rsid w:val="3761450D"/>
    <w:rsid w:val="382562F6"/>
    <w:rsid w:val="385CBF3A"/>
    <w:rsid w:val="39EFA014"/>
    <w:rsid w:val="40094923"/>
    <w:rsid w:val="40BCC1F9"/>
    <w:rsid w:val="4175FF28"/>
    <w:rsid w:val="4439D1B8"/>
    <w:rsid w:val="45B1586B"/>
    <w:rsid w:val="480E31D4"/>
    <w:rsid w:val="48E4F2D1"/>
    <w:rsid w:val="49097380"/>
    <w:rsid w:val="4A1170F4"/>
    <w:rsid w:val="4B914BE8"/>
    <w:rsid w:val="4B920CF4"/>
    <w:rsid w:val="4BA3127F"/>
    <w:rsid w:val="4E0A45C2"/>
    <w:rsid w:val="4E846A92"/>
    <w:rsid w:val="50738A68"/>
    <w:rsid w:val="5084B3BE"/>
    <w:rsid w:val="50F2BA01"/>
    <w:rsid w:val="525DD1B4"/>
    <w:rsid w:val="536C3B03"/>
    <w:rsid w:val="547101FF"/>
    <w:rsid w:val="54AEC06B"/>
    <w:rsid w:val="54E7A291"/>
    <w:rsid w:val="54F3A1A1"/>
    <w:rsid w:val="56E6363A"/>
    <w:rsid w:val="574E8937"/>
    <w:rsid w:val="575CCF1C"/>
    <w:rsid w:val="575F81D0"/>
    <w:rsid w:val="577F17C6"/>
    <w:rsid w:val="584871E2"/>
    <w:rsid w:val="59A7E08C"/>
    <w:rsid w:val="5AA9195D"/>
    <w:rsid w:val="5AEA6607"/>
    <w:rsid w:val="5B873026"/>
    <w:rsid w:val="5BB4408C"/>
    <w:rsid w:val="5BE5EBDC"/>
    <w:rsid w:val="5DA6EA05"/>
    <w:rsid w:val="5E21A625"/>
    <w:rsid w:val="5F331795"/>
    <w:rsid w:val="602AFAAF"/>
    <w:rsid w:val="60522CFA"/>
    <w:rsid w:val="61B4B581"/>
    <w:rsid w:val="627CBAAB"/>
    <w:rsid w:val="6308320D"/>
    <w:rsid w:val="638F41FF"/>
    <w:rsid w:val="63DDB826"/>
    <w:rsid w:val="640B6EFA"/>
    <w:rsid w:val="641C9FA1"/>
    <w:rsid w:val="651FF9B1"/>
    <w:rsid w:val="67590E55"/>
    <w:rsid w:val="678978E0"/>
    <w:rsid w:val="67EE7FDB"/>
    <w:rsid w:val="6BEAF6AB"/>
    <w:rsid w:val="6CFAB833"/>
    <w:rsid w:val="6DFE2CC1"/>
    <w:rsid w:val="6F1C8B61"/>
    <w:rsid w:val="6F4A2821"/>
    <w:rsid w:val="70E08169"/>
    <w:rsid w:val="718ED0C2"/>
    <w:rsid w:val="72DD6AA8"/>
    <w:rsid w:val="734D7676"/>
    <w:rsid w:val="742E5ACA"/>
    <w:rsid w:val="7466F704"/>
    <w:rsid w:val="75EACEB4"/>
    <w:rsid w:val="7618B5D4"/>
    <w:rsid w:val="761A8A04"/>
    <w:rsid w:val="7620FB51"/>
    <w:rsid w:val="7689059C"/>
    <w:rsid w:val="78225D05"/>
    <w:rsid w:val="79109E66"/>
    <w:rsid w:val="796952CD"/>
    <w:rsid w:val="7B18F82D"/>
    <w:rsid w:val="7B391B72"/>
    <w:rsid w:val="7CAA31F0"/>
    <w:rsid w:val="7D351941"/>
    <w:rsid w:val="7D55F12B"/>
    <w:rsid w:val="7E359B2A"/>
    <w:rsid w:val="7E81A591"/>
    <w:rsid w:val="7F7792BC"/>
    <w:rsid w:val="7F8B727B"/>
    <w:rsid w:val="7FB07EC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0A824"/>
  <w15:docId w15:val="{9A89E095-6074-421F-B38A-B78A969A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7E5D"/>
    <w:rPr>
      <w:rFonts w:ascii="Calibri" w:eastAsia="Calibri" w:hAnsi="Calibri" w:cs="Times New Roman"/>
    </w:rPr>
  </w:style>
  <w:style w:type="paragraph" w:styleId="Kop2">
    <w:name w:val="heading 2"/>
    <w:basedOn w:val="Standaard"/>
    <w:next w:val="Standaard"/>
    <w:link w:val="Kop2Char"/>
    <w:uiPriority w:val="9"/>
    <w:unhideWhenUsed/>
    <w:qFormat/>
    <w:rsid w:val="00EB7E5D"/>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B7E5D"/>
    <w:rPr>
      <w:rFonts w:ascii="Cambria" w:eastAsia="Times New Roman" w:hAnsi="Cambria" w:cs="Times New Roman"/>
      <w:b/>
      <w:bCs/>
      <w:color w:val="4F81BD"/>
      <w:sz w:val="26"/>
      <w:szCs w:val="26"/>
    </w:rPr>
  </w:style>
  <w:style w:type="paragraph" w:styleId="Geenafstand">
    <w:name w:val="No Spacing"/>
    <w:uiPriority w:val="1"/>
    <w:qFormat/>
    <w:rsid w:val="00EB7E5D"/>
    <w:pPr>
      <w:spacing w:after="0" w:line="240" w:lineRule="auto"/>
    </w:pPr>
    <w:rPr>
      <w:rFonts w:ascii="Calibri" w:eastAsia="Calibri" w:hAnsi="Calibri" w:cs="Times New Roman"/>
    </w:rPr>
  </w:style>
  <w:style w:type="character" w:styleId="Intensievebenadrukking">
    <w:name w:val="Intense Emphasis"/>
    <w:uiPriority w:val="21"/>
    <w:qFormat/>
    <w:rsid w:val="00EB7E5D"/>
    <w:rPr>
      <w:b/>
      <w:bCs/>
      <w:i/>
      <w:iCs/>
      <w:color w:val="4F81BD"/>
    </w:rPr>
  </w:style>
  <w:style w:type="paragraph" w:styleId="Ballontekst">
    <w:name w:val="Balloon Text"/>
    <w:basedOn w:val="Standaard"/>
    <w:link w:val="BallontekstChar"/>
    <w:uiPriority w:val="99"/>
    <w:semiHidden/>
    <w:unhideWhenUsed/>
    <w:rsid w:val="000F083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0838"/>
    <w:rPr>
      <w:rFonts w:ascii="Segoe UI" w:eastAsia="Calibri" w:hAnsi="Segoe UI" w:cs="Segoe UI"/>
      <w:sz w:val="18"/>
      <w:szCs w:val="18"/>
    </w:rPr>
  </w:style>
  <w:style w:type="character" w:styleId="Verwijzingopmerking">
    <w:name w:val="annotation reference"/>
    <w:basedOn w:val="Standaardalinea-lettertype"/>
    <w:uiPriority w:val="99"/>
    <w:semiHidden/>
    <w:unhideWhenUsed/>
    <w:rsid w:val="008610D1"/>
    <w:rPr>
      <w:sz w:val="16"/>
      <w:szCs w:val="16"/>
    </w:rPr>
  </w:style>
  <w:style w:type="paragraph" w:styleId="Tekstopmerking">
    <w:name w:val="annotation text"/>
    <w:basedOn w:val="Standaard"/>
    <w:link w:val="TekstopmerkingChar"/>
    <w:uiPriority w:val="99"/>
    <w:unhideWhenUsed/>
    <w:rsid w:val="008610D1"/>
    <w:pPr>
      <w:spacing w:line="240" w:lineRule="auto"/>
    </w:pPr>
    <w:rPr>
      <w:sz w:val="20"/>
      <w:szCs w:val="20"/>
    </w:rPr>
  </w:style>
  <w:style w:type="character" w:customStyle="1" w:styleId="TekstopmerkingChar">
    <w:name w:val="Tekst opmerking Char"/>
    <w:basedOn w:val="Standaardalinea-lettertype"/>
    <w:link w:val="Tekstopmerking"/>
    <w:uiPriority w:val="99"/>
    <w:rsid w:val="008610D1"/>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8610D1"/>
    <w:rPr>
      <w:b/>
      <w:bCs/>
    </w:rPr>
  </w:style>
  <w:style w:type="character" w:customStyle="1" w:styleId="OnderwerpvanopmerkingChar">
    <w:name w:val="Onderwerp van opmerking Char"/>
    <w:basedOn w:val="TekstopmerkingChar"/>
    <w:link w:val="Onderwerpvanopmerking"/>
    <w:uiPriority w:val="99"/>
    <w:semiHidden/>
    <w:rsid w:val="008610D1"/>
    <w:rPr>
      <w:rFonts w:ascii="Calibri" w:eastAsia="Calibri" w:hAnsi="Calibri" w:cs="Times New Roman"/>
      <w:b/>
      <w:bCs/>
      <w:sz w:val="20"/>
      <w:szCs w:val="20"/>
    </w:rPr>
  </w:style>
  <w:style w:type="paragraph" w:styleId="Revisie">
    <w:name w:val="Revision"/>
    <w:hidden/>
    <w:uiPriority w:val="99"/>
    <w:semiHidden/>
    <w:rsid w:val="00042D33"/>
    <w:pPr>
      <w:spacing w:after="0" w:line="240" w:lineRule="auto"/>
    </w:pPr>
    <w:rPr>
      <w:rFonts w:ascii="Calibri" w:eastAsia="Calibri" w:hAnsi="Calibri" w:cs="Times New Roman"/>
    </w:rPr>
  </w:style>
  <w:style w:type="character" w:styleId="Hyperlink">
    <w:name w:val="Hyperlink"/>
    <w:basedOn w:val="Standaardalinea-lettertype"/>
    <w:uiPriority w:val="99"/>
    <w:unhideWhenUsed/>
    <w:rsid w:val="005B0AA7"/>
    <w:rPr>
      <w:color w:val="0000FF" w:themeColor="hyperlink"/>
      <w:u w:val="single"/>
    </w:rPr>
  </w:style>
  <w:style w:type="character" w:styleId="Onopgelostemelding">
    <w:name w:val="Unresolved Mention"/>
    <w:basedOn w:val="Standaardalinea-lettertype"/>
    <w:uiPriority w:val="99"/>
    <w:semiHidden/>
    <w:unhideWhenUsed/>
    <w:rsid w:val="005B0AA7"/>
    <w:rPr>
      <w:color w:val="605E5C"/>
      <w:shd w:val="clear" w:color="auto" w:fill="E1DFDD"/>
    </w:rPr>
  </w:style>
  <w:style w:type="paragraph" w:styleId="Lijstalinea">
    <w:name w:val="List Paragraph"/>
    <w:basedOn w:val="Standaard"/>
    <w:uiPriority w:val="34"/>
    <w:qFormat/>
    <w:rsid w:val="00F15ACB"/>
    <w:pPr>
      <w:spacing w:after="0" w:line="240" w:lineRule="auto"/>
      <w:ind w:left="720"/>
    </w:pPr>
    <w:rPr>
      <w:rFonts w:eastAsiaTheme="minorHAnsi" w:cs="Calibri"/>
      <w14:ligatures w14:val="standardContextual"/>
    </w:rPr>
  </w:style>
  <w:style w:type="table" w:styleId="Tabelraster">
    <w:name w:val="Table Grid"/>
    <w:basedOn w:val="Standaardtabel"/>
    <w:uiPriority w:val="59"/>
    <w:rsid w:val="00F466E3"/>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0399"/>
    <w:pPr>
      <w:autoSpaceDE w:val="0"/>
      <w:autoSpaceDN w:val="0"/>
      <w:adjustRightInd w:val="0"/>
      <w:spacing w:after="0" w:line="240" w:lineRule="auto"/>
    </w:pPr>
    <w:rPr>
      <w:rFonts w:ascii="Noto Sans" w:hAnsi="Noto Sans" w:cs="Noto Sans"/>
      <w:color w:val="000000"/>
      <w:sz w:val="24"/>
      <w:szCs w:val="24"/>
    </w:rPr>
  </w:style>
  <w:style w:type="paragraph" w:styleId="Normaalweb">
    <w:name w:val="Normal (Web)"/>
    <w:basedOn w:val="Standaard"/>
    <w:uiPriority w:val="99"/>
    <w:semiHidden/>
    <w:unhideWhenUsed/>
    <w:rsid w:val="00DD4ED7"/>
    <w:pPr>
      <w:spacing w:before="100" w:beforeAutospacing="1" w:after="100" w:afterAutospacing="1" w:line="240" w:lineRule="auto"/>
    </w:pPr>
    <w:rPr>
      <w:rFonts w:eastAsiaTheme="minorHAnsi" w:cs="Calibri"/>
      <w:lang w:eastAsia="nl-NL"/>
    </w:rPr>
  </w:style>
  <w:style w:type="character" w:styleId="Nadruk">
    <w:name w:val="Emphasis"/>
    <w:basedOn w:val="Standaardalinea-lettertype"/>
    <w:uiPriority w:val="20"/>
    <w:qFormat/>
    <w:rsid w:val="007D380F"/>
    <w:rPr>
      <w:i/>
      <w:iCs/>
    </w:rPr>
  </w:style>
  <w:style w:type="paragraph" w:styleId="Voetnoottekst">
    <w:name w:val="footnote text"/>
    <w:basedOn w:val="Standaard"/>
    <w:link w:val="VoetnoottekstChar"/>
    <w:uiPriority w:val="99"/>
    <w:semiHidden/>
    <w:unhideWhenUsed/>
    <w:rsid w:val="00A7082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7082E"/>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A7082E"/>
    <w:rPr>
      <w:vertAlign w:val="superscript"/>
    </w:rPr>
  </w:style>
  <w:style w:type="paragraph" w:styleId="Koptekst">
    <w:name w:val="header"/>
    <w:basedOn w:val="Standaard"/>
    <w:link w:val="KoptekstChar"/>
    <w:uiPriority w:val="99"/>
    <w:unhideWhenUsed/>
    <w:rsid w:val="008919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1986"/>
    <w:rPr>
      <w:rFonts w:ascii="Calibri" w:eastAsia="Calibri" w:hAnsi="Calibri" w:cs="Times New Roman"/>
    </w:rPr>
  </w:style>
  <w:style w:type="paragraph" w:styleId="Voettekst">
    <w:name w:val="footer"/>
    <w:basedOn w:val="Standaard"/>
    <w:link w:val="VoettekstChar"/>
    <w:uiPriority w:val="99"/>
    <w:unhideWhenUsed/>
    <w:rsid w:val="008919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19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6713">
      <w:bodyDiv w:val="1"/>
      <w:marLeft w:val="0"/>
      <w:marRight w:val="0"/>
      <w:marTop w:val="0"/>
      <w:marBottom w:val="0"/>
      <w:divBdr>
        <w:top w:val="none" w:sz="0" w:space="0" w:color="auto"/>
        <w:left w:val="none" w:sz="0" w:space="0" w:color="auto"/>
        <w:bottom w:val="none" w:sz="0" w:space="0" w:color="auto"/>
        <w:right w:val="none" w:sz="0" w:space="0" w:color="auto"/>
      </w:divBdr>
    </w:div>
    <w:div w:id="273754993">
      <w:bodyDiv w:val="1"/>
      <w:marLeft w:val="0"/>
      <w:marRight w:val="0"/>
      <w:marTop w:val="0"/>
      <w:marBottom w:val="0"/>
      <w:divBdr>
        <w:top w:val="none" w:sz="0" w:space="0" w:color="auto"/>
        <w:left w:val="none" w:sz="0" w:space="0" w:color="auto"/>
        <w:bottom w:val="none" w:sz="0" w:space="0" w:color="auto"/>
        <w:right w:val="none" w:sz="0" w:space="0" w:color="auto"/>
      </w:divBdr>
    </w:div>
    <w:div w:id="462381285">
      <w:bodyDiv w:val="1"/>
      <w:marLeft w:val="0"/>
      <w:marRight w:val="0"/>
      <w:marTop w:val="0"/>
      <w:marBottom w:val="0"/>
      <w:divBdr>
        <w:top w:val="none" w:sz="0" w:space="0" w:color="auto"/>
        <w:left w:val="none" w:sz="0" w:space="0" w:color="auto"/>
        <w:bottom w:val="none" w:sz="0" w:space="0" w:color="auto"/>
        <w:right w:val="none" w:sz="0" w:space="0" w:color="auto"/>
      </w:divBdr>
    </w:div>
    <w:div w:id="627932916">
      <w:bodyDiv w:val="1"/>
      <w:marLeft w:val="0"/>
      <w:marRight w:val="0"/>
      <w:marTop w:val="0"/>
      <w:marBottom w:val="0"/>
      <w:divBdr>
        <w:top w:val="none" w:sz="0" w:space="0" w:color="auto"/>
        <w:left w:val="none" w:sz="0" w:space="0" w:color="auto"/>
        <w:bottom w:val="none" w:sz="0" w:space="0" w:color="auto"/>
        <w:right w:val="none" w:sz="0" w:space="0" w:color="auto"/>
      </w:divBdr>
    </w:div>
    <w:div w:id="957612125">
      <w:bodyDiv w:val="1"/>
      <w:marLeft w:val="0"/>
      <w:marRight w:val="0"/>
      <w:marTop w:val="0"/>
      <w:marBottom w:val="0"/>
      <w:divBdr>
        <w:top w:val="none" w:sz="0" w:space="0" w:color="auto"/>
        <w:left w:val="none" w:sz="0" w:space="0" w:color="auto"/>
        <w:bottom w:val="none" w:sz="0" w:space="0" w:color="auto"/>
        <w:right w:val="none" w:sz="0" w:space="0" w:color="auto"/>
      </w:divBdr>
    </w:div>
    <w:div w:id="981082528">
      <w:bodyDiv w:val="1"/>
      <w:marLeft w:val="0"/>
      <w:marRight w:val="0"/>
      <w:marTop w:val="0"/>
      <w:marBottom w:val="0"/>
      <w:divBdr>
        <w:top w:val="none" w:sz="0" w:space="0" w:color="auto"/>
        <w:left w:val="none" w:sz="0" w:space="0" w:color="auto"/>
        <w:bottom w:val="none" w:sz="0" w:space="0" w:color="auto"/>
        <w:right w:val="none" w:sz="0" w:space="0" w:color="auto"/>
      </w:divBdr>
    </w:div>
    <w:div w:id="1207907200">
      <w:bodyDiv w:val="1"/>
      <w:marLeft w:val="0"/>
      <w:marRight w:val="0"/>
      <w:marTop w:val="0"/>
      <w:marBottom w:val="0"/>
      <w:divBdr>
        <w:top w:val="none" w:sz="0" w:space="0" w:color="auto"/>
        <w:left w:val="none" w:sz="0" w:space="0" w:color="auto"/>
        <w:bottom w:val="none" w:sz="0" w:space="0" w:color="auto"/>
        <w:right w:val="none" w:sz="0" w:space="0" w:color="auto"/>
      </w:divBdr>
    </w:div>
    <w:div w:id="1542596411">
      <w:bodyDiv w:val="1"/>
      <w:marLeft w:val="0"/>
      <w:marRight w:val="0"/>
      <w:marTop w:val="0"/>
      <w:marBottom w:val="0"/>
      <w:divBdr>
        <w:top w:val="none" w:sz="0" w:space="0" w:color="auto"/>
        <w:left w:val="none" w:sz="0" w:space="0" w:color="auto"/>
        <w:bottom w:val="none" w:sz="0" w:space="0" w:color="auto"/>
        <w:right w:val="none" w:sz="0" w:space="0" w:color="auto"/>
      </w:divBdr>
    </w:div>
    <w:div w:id="20321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4.safelinks.protection.outlook.com/?url=https%3A%2F%2Fwww.nba.nl%2Fsiteassets%2Fdocumenten%2Fbijlagen-nieuwsberichten%2Fdiscussienotitie-geheimhouding-ontrafeld.pdf&amp;data=05%7C02%7C%7Ce502555a7cd7402556e408dc13734903%7C09ff467c45054456af1afcf0e6218829%7C0%7C0%7C638406633087972069%7CUnknown%7CTWFpbGZsb3d8eyJWIjoiMC4wLjAwMDAiLCJQIjoiV2luMzIiLCJBTiI6Ik1haWwiLCJXVCI6Mn0%3D%7C3000%7C%7C%7C&amp;sdata=AoPNDpUbemJyd6H2KRYfq71KbkCigoguJzyCYDdyjIM%3D&amp;reserved=0" TargetMode="External"/><Relationship Id="rId18" Type="http://schemas.openxmlformats.org/officeDocument/2006/relationships/hyperlink" Target="https://www.nba.nl/tools-en-ondersteuning/publicaties/2022/rapportage-analyse-fraudesecties-in-controleverklaringen-2021-van-niet-oob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ba.nl/wet--en-regelgeving/handreikingen/nba-handreiking-1151/" TargetMode="External"/><Relationship Id="rId7" Type="http://schemas.openxmlformats.org/officeDocument/2006/relationships/settings" Target="settings.xml"/><Relationship Id="rId12" Type="http://schemas.openxmlformats.org/officeDocument/2006/relationships/hyperlink" Target="file:///C:/Users/Marianne/Downloads/aanpassingen-standaard-700-inzake-verplichte-rapportering-over-continuiteit-en-fraude---11-januari-2022.pdf" TargetMode="External"/><Relationship Id="rId17" Type="http://schemas.openxmlformats.org/officeDocument/2006/relationships/hyperlink" Target="https://www.nba.nl/tools-en-ondersteuning/publicaties/2022/analyse-rapportering-over-fraude-in-oob-controleverklaringen-202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ba.nl/nieuws/2022/december/nba-publiceert-voorbeelden-fraudesectie-controleverklaring/" TargetMode="External"/><Relationship Id="rId20" Type="http://schemas.openxmlformats.org/officeDocument/2006/relationships/hyperlink" Target="file:///C:/Users/Marianne/Downloads/rapportering-over-fraude-in-de-controleverklaring-2022%2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ba.nl/nieuws/2021/december/bestuursbesluit-verplichte-rapportage-continuiteit-en-fraud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ba.nl/wet--en-regelgeving/handreikingen/nba-handreiking-1150/" TargetMode="External"/><Relationship Id="rId23" Type="http://schemas.openxmlformats.org/officeDocument/2006/relationships/hyperlink" Target="file:///C:/Users/Marianne/Downloads/2024020_nba_onderzoek-continuiteit-in-de-controleverklaring-2022_1%20(1).pdf" TargetMode="External"/><Relationship Id="rId10" Type="http://schemas.openxmlformats.org/officeDocument/2006/relationships/endnotes" Target="endnotes.xml"/><Relationship Id="rId19" Type="http://schemas.openxmlformats.org/officeDocument/2006/relationships/hyperlink" Target="https://www.nba.nl/tools-en-ondersteuning/publicaties/2022/nba-onderzoek-toepassing-standaard-700---fraude-waarnemingen-en-uitkoms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ba.nl/nieuws/2024/mei/besluit-nba-bestuur-over-transparantie-en-geheimhouding-accountant/" TargetMode="External"/><Relationship Id="rId22" Type="http://schemas.openxmlformats.org/officeDocument/2006/relationships/hyperlink" Target="https://www.nba.nl/nieuws/2023/juni/rapportage-controleaanpak-continuiteit-in-de-controleverklaring-bij-oobs-en-niet-oobs-over-verslagjaar-202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ba.nl/nieuws/2021/december/bestuursbesluit-verplichte-rapportage-continuiteit-en-fraude/" TargetMode="External"/><Relationship Id="rId2" Type="http://schemas.openxmlformats.org/officeDocument/2006/relationships/hyperlink" Target="file:///C:/Users/Marianne/Downloads/2024020_nba_onderzoek-continuiteit-in-de-controleverklaring-2022_1.pdf" TargetMode="External"/><Relationship Id="rId1" Type="http://schemas.openxmlformats.org/officeDocument/2006/relationships/hyperlink" Target="file:///C:/Users/Marianne/Downloads/rapportering-over-fraude-in-de-controleverklaring-2022.pdf" TargetMode="External"/><Relationship Id="rId4" Type="http://schemas.openxmlformats.org/officeDocument/2006/relationships/hyperlink" Target="https://www.nba.nl/nieuws/2023/augustus/de-nba-heeft-gereageerd-op-de-exposure-draft-van-de-nieuwe-standaard-570---going-concer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8fa12b-f15d-4056-a7f6-58732972abf5">
      <UserInfo>
        <DisplayName>Melissa Klaver-Drost</DisplayName>
        <AccountId>16</AccountId>
        <AccountType/>
      </UserInfo>
      <UserInfo>
        <DisplayName>Robert Mul</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4D9677B0BF245BF206AD01247AD7B" ma:contentTypeVersion="11" ma:contentTypeDescription="Een nieuw document maken." ma:contentTypeScope="" ma:versionID="aef7ca0beb50116292b0a788a8fe6a52">
  <xsd:schema xmlns:xsd="http://www.w3.org/2001/XMLSchema" xmlns:xs="http://www.w3.org/2001/XMLSchema" xmlns:p="http://schemas.microsoft.com/office/2006/metadata/properties" xmlns:ns2="f64e99bf-8903-4bba-9777-40a2af46ac83" xmlns:ns3="8f8fa12b-f15d-4056-a7f6-58732972abf5" targetNamespace="http://schemas.microsoft.com/office/2006/metadata/properties" ma:root="true" ma:fieldsID="44e106895245134508854a849768bbdf" ns2:_="" ns3:_="">
    <xsd:import namespace="f64e99bf-8903-4bba-9777-40a2af46ac83"/>
    <xsd:import namespace="8f8fa12b-f15d-4056-a7f6-58732972ab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e99bf-8903-4bba-9777-40a2af46a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fa12b-f15d-4056-a7f6-58732972abf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317AB-D823-4305-B129-FEFD12A0F9E1}">
  <ds:schemaRefs>
    <ds:schemaRef ds:uri="http://schemas.microsoft.com/office/2006/metadata/properties"/>
    <ds:schemaRef ds:uri="http://schemas.microsoft.com/office/infopath/2007/PartnerControls"/>
    <ds:schemaRef ds:uri="8f8fa12b-f15d-4056-a7f6-58732972abf5"/>
  </ds:schemaRefs>
</ds:datastoreItem>
</file>

<file path=customXml/itemProps2.xml><?xml version="1.0" encoding="utf-8"?>
<ds:datastoreItem xmlns:ds="http://schemas.openxmlformats.org/officeDocument/2006/customXml" ds:itemID="{C9C44D2C-5416-4A47-BF10-D52F1CC78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e99bf-8903-4bba-9777-40a2af46ac83"/>
    <ds:schemaRef ds:uri="8f8fa12b-f15d-4056-a7f6-58732972a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5B241-BA4E-44E1-90AB-7665F5296718}">
  <ds:schemaRefs>
    <ds:schemaRef ds:uri="http://schemas.openxmlformats.org/officeDocument/2006/bibliography"/>
  </ds:schemaRefs>
</ds:datastoreItem>
</file>

<file path=customXml/itemProps4.xml><?xml version="1.0" encoding="utf-8"?>
<ds:datastoreItem xmlns:ds="http://schemas.openxmlformats.org/officeDocument/2006/customXml" ds:itemID="{68BEE69C-12D0-435A-B0AB-C629ED6C4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15</Pages>
  <Words>6666</Words>
  <Characters>36666</Characters>
  <Application>Microsoft Office Word</Application>
  <DocSecurity>0</DocSecurity>
  <Lines>305</Lines>
  <Paragraphs>86</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43246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van Kimmenade</dc:creator>
  <cp:keywords/>
  <cp:lastModifiedBy>Els Geerts</cp:lastModifiedBy>
  <cp:revision>4</cp:revision>
  <cp:lastPrinted>2017-01-25T01:23:00Z</cp:lastPrinted>
  <dcterms:created xsi:type="dcterms:W3CDTF">2024-10-29T12:19:00Z</dcterms:created>
  <dcterms:modified xsi:type="dcterms:W3CDTF">2024-11-04T08:01:00Z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0x01010023F4D9677B0BF245BF206AD01247AD7B</vt:lpwstr>
  </property>
</Properties>
</file>